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0D4B" w:rsidRDefault="00660D4B" w:rsidP="00660D4B">
      <w:pPr>
        <w:jc w:val="center"/>
      </w:pPr>
      <w:r>
        <w:rPr>
          <w:noProof/>
          <w:lang w:eastAsia="en-AU"/>
        </w:rPr>
        <w:drawing>
          <wp:inline distT="0" distB="0" distL="0" distR="0" wp14:anchorId="0C5C3C9F" wp14:editId="498E472C">
            <wp:extent cx="5364868" cy="9291711"/>
            <wp:effectExtent l="133350" t="114300" r="140970" b="157480"/>
            <wp:docPr id="8" name="Picture 8" descr="Cover page for teacher resource guide. Includes the NSW government and Invictus Games Sydney 2018 logos with the text: Invictus Games Sydney 2018 Education Project - Exploring the power of the Invictus Games through education - Inclusion, Resilience, Service.&#10;&#10;Three images of students in a grandstand, a competitor carrying an Australian flag and teams of wheelchair competitors shaking hands before a match." title="Invictus Games Sydney 2018 Education Pro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ntitled.png"/>
                    <pic:cNvPicPr/>
                  </pic:nvPicPr>
                  <pic:blipFill rotWithShape="1">
                    <a:blip r:embed="rId7" cstate="print">
                      <a:extLst>
                        <a:ext uri="{28A0092B-C50C-407E-A947-70E740481C1C}">
                          <a14:useLocalDpi xmlns:a14="http://schemas.microsoft.com/office/drawing/2010/main" val="0"/>
                        </a:ext>
                      </a:extLst>
                    </a:blip>
                    <a:srcRect l="730" r="734"/>
                    <a:stretch/>
                  </pic:blipFill>
                  <pic:spPr bwMode="auto">
                    <a:xfrm>
                      <a:off x="0" y="0"/>
                      <a:ext cx="5367846" cy="929686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B263C2" w:rsidRPr="00B263C2" w:rsidRDefault="00B263C2" w:rsidP="00B263C2">
      <w:pPr>
        <w:pStyle w:val="Heading1"/>
        <w:spacing w:after="240"/>
      </w:pPr>
      <w:r w:rsidRPr="00B263C2">
        <w:t>Teacher Resource Guide</w:t>
      </w:r>
    </w:p>
    <w:p w:rsidR="00B263C2" w:rsidRDefault="00B263C2" w:rsidP="00001B79">
      <w:pPr>
        <w:spacing w:line="360" w:lineRule="auto"/>
      </w:pPr>
      <w:r>
        <w:t xml:space="preserve">The goal of the Invictus Games Sydney 2018 Education Project is to </w:t>
      </w:r>
      <w:r w:rsidR="00F23DE1">
        <w:t>promote</w:t>
      </w:r>
      <w:r>
        <w:t xml:space="preserve"> school and student engagement with</w:t>
      </w:r>
      <w:r w:rsidR="00F23DE1">
        <w:t xml:space="preserve"> the Invictus Games Sydney 2018 and to develop teaching and learning resources immediately associated with the Invictus Games through</w:t>
      </w:r>
      <w:r>
        <w:t xml:space="preserve"> collaborati</w:t>
      </w:r>
      <w:r w:rsidR="00F23DE1">
        <w:t>on</w:t>
      </w:r>
      <w:r>
        <w:t xml:space="preserve"> with the NSW Department of Premier and Cabinet (DPC) and other internal and external agencies</w:t>
      </w:r>
      <w:r w:rsidR="006B60ED">
        <w:t xml:space="preserve">. </w:t>
      </w:r>
      <w:r w:rsidR="00F23DE1">
        <w:t>The development and delivery of the Invictus Games Sydney 2018 Education Project (IGEP)</w:t>
      </w:r>
      <w:r w:rsidR="006B60ED">
        <w:t xml:space="preserve"> strategy will</w:t>
      </w:r>
      <w:r w:rsidR="00F23DE1">
        <w:t xml:space="preserve"> develop sophisticated</w:t>
      </w:r>
      <w:r>
        <w:t xml:space="preserve"> </w:t>
      </w:r>
      <w:r w:rsidR="00F23DE1">
        <w:t xml:space="preserve">curriculum materials and </w:t>
      </w:r>
      <w:r>
        <w:t xml:space="preserve">will explore themes which underpin the Invictus Games </w:t>
      </w:r>
      <w:r w:rsidR="00F23DE1">
        <w:t>including inclusion,</w:t>
      </w:r>
      <w:r>
        <w:t xml:space="preserve"> resilience, and service. </w:t>
      </w:r>
    </w:p>
    <w:p w:rsidR="00B263C2" w:rsidRPr="00615C41" w:rsidRDefault="00B263C2" w:rsidP="00001B79">
      <w:pPr>
        <w:spacing w:line="360" w:lineRule="auto"/>
      </w:pPr>
      <w:r w:rsidRPr="00615C41">
        <w:t>The key outcomes of the Invictus Games Sydney 2018 Education Project are to:</w:t>
      </w:r>
    </w:p>
    <w:p w:rsidR="00B263C2" w:rsidRPr="00615C41" w:rsidRDefault="00B263C2" w:rsidP="00001B79">
      <w:pPr>
        <w:pStyle w:val="ListParagraph"/>
        <w:numPr>
          <w:ilvl w:val="0"/>
          <w:numId w:val="2"/>
        </w:numPr>
        <w:spacing w:line="360" w:lineRule="auto"/>
      </w:pPr>
      <w:r w:rsidRPr="00615C41">
        <w:t>Deliver high quality curriculum materials immediately associated with the Invictus Games and linked to the NSW syllabus.</w:t>
      </w:r>
    </w:p>
    <w:p w:rsidR="00B263C2" w:rsidRPr="00615C41" w:rsidRDefault="00B263C2" w:rsidP="00001B79">
      <w:pPr>
        <w:pStyle w:val="ListParagraph"/>
        <w:numPr>
          <w:ilvl w:val="0"/>
          <w:numId w:val="2"/>
        </w:numPr>
        <w:spacing w:line="360" w:lineRule="auto"/>
      </w:pPr>
      <w:r w:rsidRPr="00615C41">
        <w:t>Provide innovative virtual learning experiences to maximise access for NSW public schools.</w:t>
      </w:r>
    </w:p>
    <w:p w:rsidR="00B263C2" w:rsidRPr="00615C41" w:rsidRDefault="00B263C2" w:rsidP="00001B79">
      <w:pPr>
        <w:pStyle w:val="ListParagraph"/>
        <w:numPr>
          <w:ilvl w:val="0"/>
          <w:numId w:val="2"/>
        </w:numPr>
        <w:spacing w:line="360" w:lineRule="auto"/>
      </w:pPr>
      <w:r w:rsidRPr="00615C41">
        <w:t>Design contemporary curriculum materials for future learning as a legacy of the Invictus Games Sydney 2018.</w:t>
      </w:r>
    </w:p>
    <w:p w:rsidR="00070417" w:rsidRDefault="00070417" w:rsidP="00001B79">
      <w:pPr>
        <w:spacing w:line="360" w:lineRule="auto"/>
      </w:pPr>
      <w:r>
        <w:t xml:space="preserve">The IGEP will raise student awareness of the historical and modern contributions of our military service and </w:t>
      </w:r>
      <w:r w:rsidR="00AF36D2">
        <w:t xml:space="preserve">through </w:t>
      </w:r>
      <w:r>
        <w:t xml:space="preserve">the themes of the Invictus Games, students will learn and explore what tools can help heal </w:t>
      </w:r>
      <w:r w:rsidR="00AF36D2">
        <w:t xml:space="preserve">their </w:t>
      </w:r>
      <w:r>
        <w:t>physical and psychological wounds.</w:t>
      </w:r>
    </w:p>
    <w:p w:rsidR="00254D87" w:rsidRDefault="00070417" w:rsidP="00001B79">
      <w:pPr>
        <w:spacing w:line="360" w:lineRule="auto"/>
      </w:pPr>
      <w:r w:rsidRPr="00070417">
        <w:t xml:space="preserve">The </w:t>
      </w:r>
      <w:r w:rsidR="00254D87" w:rsidRPr="00254D87">
        <w:t xml:space="preserve">basic foundation </w:t>
      </w:r>
      <w:r w:rsidRPr="00070417">
        <w:t xml:space="preserve">the IGEP is to establish and maintain the integrity of the key themes of Invictus Games with </w:t>
      </w:r>
      <w:r w:rsidR="00254D87">
        <w:t xml:space="preserve">the </w:t>
      </w:r>
      <w:r w:rsidRPr="00070417">
        <w:t>flexibility to allow teachers to extend learning tasks to meet the needs of their students.</w:t>
      </w:r>
      <w:r>
        <w:t xml:space="preserve"> </w:t>
      </w:r>
      <w:r w:rsidRPr="00070417">
        <w:t xml:space="preserve">The concept </w:t>
      </w:r>
      <w:r>
        <w:t>incorporates</w:t>
      </w:r>
      <w:r w:rsidRPr="00070417">
        <w:t xml:space="preserve"> cross-curricular, KLA specific and extension tasks stemming from central inquiry based task</w:t>
      </w:r>
      <w:r w:rsidR="00AF36D2">
        <w:t>s</w:t>
      </w:r>
      <w:r w:rsidRPr="00070417">
        <w:t>.</w:t>
      </w:r>
      <w:r>
        <w:t xml:space="preserve"> </w:t>
      </w:r>
    </w:p>
    <w:p w:rsidR="00001B79" w:rsidRPr="00001B79" w:rsidRDefault="00001B79" w:rsidP="00254D87">
      <w:pPr>
        <w:rPr>
          <w:rFonts w:ascii="Verdana" w:eastAsiaTheme="majorEastAsia" w:hAnsi="Verdana" w:cstheme="majorBidi"/>
          <w:b/>
          <w:sz w:val="28"/>
          <w:szCs w:val="32"/>
        </w:rPr>
      </w:pPr>
      <w:r>
        <w:rPr>
          <w:rFonts w:ascii="Verdana" w:eastAsiaTheme="majorEastAsia" w:hAnsi="Verdana" w:cstheme="majorBidi"/>
          <w:b/>
          <w:sz w:val="28"/>
          <w:szCs w:val="32"/>
        </w:rPr>
        <w:t xml:space="preserve">Learning Design and </w:t>
      </w:r>
      <w:r w:rsidR="000E458F">
        <w:rPr>
          <w:rFonts w:ascii="Verdana" w:eastAsiaTheme="majorEastAsia" w:hAnsi="Verdana" w:cstheme="majorBidi"/>
          <w:b/>
          <w:sz w:val="28"/>
          <w:szCs w:val="32"/>
        </w:rPr>
        <w:t>Core</w:t>
      </w:r>
      <w:r w:rsidRPr="00001B79">
        <w:rPr>
          <w:rFonts w:ascii="Verdana" w:eastAsiaTheme="majorEastAsia" w:hAnsi="Verdana" w:cstheme="majorBidi"/>
          <w:b/>
          <w:sz w:val="28"/>
          <w:szCs w:val="32"/>
        </w:rPr>
        <w:t xml:space="preserve"> themes</w:t>
      </w:r>
    </w:p>
    <w:p w:rsidR="00001B79" w:rsidRDefault="00001B79" w:rsidP="00001B79">
      <w:pPr>
        <w:spacing w:line="360" w:lineRule="auto"/>
      </w:pPr>
      <w:r w:rsidRPr="00FF1576">
        <w:t xml:space="preserve">The </w:t>
      </w:r>
      <w:r>
        <w:t>project</w:t>
      </w:r>
      <w:r w:rsidRPr="00FF1576">
        <w:t xml:space="preserve"> incorporates a design thinking methodology to present a student-centred learning cycle linked to the Invictus G</w:t>
      </w:r>
      <w:r>
        <w:t>ames Sydney 2018 and the associated themes.</w:t>
      </w:r>
    </w:p>
    <w:p w:rsidR="00001B79" w:rsidRDefault="00001B79" w:rsidP="00001B79">
      <w:pPr>
        <w:spacing w:line="360" w:lineRule="auto"/>
      </w:pPr>
      <w:r>
        <w:t>The IGEP aims to explore the power of the Invictus Games through education and focusses on three core themes:</w:t>
      </w:r>
    </w:p>
    <w:p w:rsidR="00001B79" w:rsidRDefault="00001B79" w:rsidP="00001B79">
      <w:pPr>
        <w:pStyle w:val="ListParagraph"/>
        <w:numPr>
          <w:ilvl w:val="0"/>
          <w:numId w:val="11"/>
        </w:numPr>
        <w:spacing w:line="360" w:lineRule="auto"/>
      </w:pPr>
      <w:r>
        <w:t>INCLUSION</w:t>
      </w:r>
    </w:p>
    <w:p w:rsidR="00001B79" w:rsidRDefault="00001B79" w:rsidP="00001B79">
      <w:pPr>
        <w:pStyle w:val="ListParagraph"/>
        <w:numPr>
          <w:ilvl w:val="0"/>
          <w:numId w:val="11"/>
        </w:numPr>
        <w:spacing w:line="360" w:lineRule="auto"/>
      </w:pPr>
      <w:r>
        <w:t>RESILIENCE</w:t>
      </w:r>
    </w:p>
    <w:p w:rsidR="00001B79" w:rsidRDefault="00001B79" w:rsidP="00001B79">
      <w:pPr>
        <w:pStyle w:val="ListParagraph"/>
        <w:numPr>
          <w:ilvl w:val="0"/>
          <w:numId w:val="11"/>
        </w:numPr>
        <w:spacing w:line="360" w:lineRule="auto"/>
      </w:pPr>
      <w:r>
        <w:t>SERVICE</w:t>
      </w:r>
    </w:p>
    <w:p w:rsidR="00001B79" w:rsidRDefault="00001B79" w:rsidP="00001B79">
      <w:pPr>
        <w:spacing w:line="360" w:lineRule="auto"/>
      </w:pPr>
      <w:r w:rsidRPr="00FF1576">
        <w:t xml:space="preserve">Schools </w:t>
      </w:r>
      <w:r>
        <w:t>are</w:t>
      </w:r>
      <w:r w:rsidRPr="00FF1576">
        <w:t xml:space="preserve"> encouraged to share their learning and collaborate together to extend the project’s legacy</w:t>
      </w:r>
      <w:r>
        <w:t xml:space="preserve"> (refer to Our </w:t>
      </w:r>
      <w:r w:rsidR="00E853D1">
        <w:t>Education Project Sharing</w:t>
      </w:r>
      <w:r>
        <w:t xml:space="preserve"> Community)</w:t>
      </w:r>
      <w:r w:rsidRPr="00FF1576">
        <w:t>.</w:t>
      </w:r>
    </w:p>
    <w:p w:rsidR="00001B79" w:rsidRPr="000E458F" w:rsidRDefault="000E458F" w:rsidP="00001B79">
      <w:pPr>
        <w:pStyle w:val="Subtitle"/>
        <w:rPr>
          <w:rFonts w:ascii="Arial" w:eastAsiaTheme="minorHAnsi" w:hAnsi="Arial"/>
          <w:b/>
          <w:color w:val="auto"/>
          <w:spacing w:val="0"/>
        </w:rPr>
      </w:pPr>
      <w:r>
        <w:rPr>
          <w:rFonts w:ascii="Arial" w:eastAsiaTheme="minorHAnsi" w:hAnsi="Arial"/>
          <w:b/>
          <w:color w:val="auto"/>
          <w:spacing w:val="0"/>
        </w:rPr>
        <w:t>Project l</w:t>
      </w:r>
      <w:r w:rsidR="00001B79" w:rsidRPr="000E458F">
        <w:rPr>
          <w:rFonts w:ascii="Arial" w:eastAsiaTheme="minorHAnsi" w:hAnsi="Arial"/>
          <w:b/>
          <w:color w:val="auto"/>
          <w:spacing w:val="0"/>
        </w:rPr>
        <w:t>earning design:</w:t>
      </w:r>
    </w:p>
    <w:tbl>
      <w:tblPr>
        <w:tblStyle w:val="TableGrid"/>
        <w:tblW w:w="10632"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Table explaining the design thinking methodology behind the Education Project"/>
      </w:tblPr>
      <w:tblGrid>
        <w:gridCol w:w="5812"/>
        <w:gridCol w:w="4820"/>
      </w:tblGrid>
      <w:tr w:rsidR="00023226" w:rsidTr="00023226">
        <w:trPr>
          <w:tblHeader/>
        </w:trPr>
        <w:tc>
          <w:tcPr>
            <w:tcW w:w="10632" w:type="dxa"/>
            <w:gridSpan w:val="2"/>
          </w:tcPr>
          <w:p w:rsidR="00023226" w:rsidRDefault="00023226" w:rsidP="00023226">
            <w:pPr>
              <w:spacing w:after="60"/>
            </w:pPr>
            <w:r>
              <w:t>Through the Invictus Games Sydney 2018 Education Project:</w:t>
            </w:r>
          </w:p>
        </w:tc>
      </w:tr>
      <w:tr w:rsidR="00023226" w:rsidTr="000E458F">
        <w:tc>
          <w:tcPr>
            <w:tcW w:w="5812" w:type="dxa"/>
          </w:tcPr>
          <w:p w:rsidR="00023226" w:rsidRDefault="00023226" w:rsidP="00023226">
            <w:pPr>
              <w:spacing w:after="60"/>
            </w:pPr>
          </w:p>
          <w:p w:rsidR="00023226" w:rsidRDefault="00023226" w:rsidP="00023226">
            <w:pPr>
              <w:pStyle w:val="ListParagraph"/>
              <w:numPr>
                <w:ilvl w:val="0"/>
                <w:numId w:val="10"/>
              </w:numPr>
              <w:spacing w:after="60" w:line="360" w:lineRule="auto"/>
            </w:pPr>
            <w:r>
              <w:t xml:space="preserve">Students will </w:t>
            </w:r>
            <w:r w:rsidRPr="00001B79">
              <w:rPr>
                <w:b/>
              </w:rPr>
              <w:t>explore</w:t>
            </w:r>
          </w:p>
          <w:p w:rsidR="00023226" w:rsidRDefault="00023226" w:rsidP="00023226">
            <w:pPr>
              <w:pStyle w:val="ListParagraph"/>
              <w:numPr>
                <w:ilvl w:val="0"/>
                <w:numId w:val="10"/>
              </w:numPr>
              <w:spacing w:after="60" w:line="360" w:lineRule="auto"/>
            </w:pPr>
            <w:r>
              <w:t xml:space="preserve">Students will </w:t>
            </w:r>
            <w:r w:rsidRPr="00001B79">
              <w:rPr>
                <w:b/>
              </w:rPr>
              <w:t>learn</w:t>
            </w:r>
          </w:p>
          <w:p w:rsidR="00023226" w:rsidRDefault="00023226" w:rsidP="00023226">
            <w:pPr>
              <w:pStyle w:val="ListParagraph"/>
              <w:numPr>
                <w:ilvl w:val="0"/>
                <w:numId w:val="10"/>
              </w:numPr>
              <w:spacing w:after="60" w:line="360" w:lineRule="auto"/>
            </w:pPr>
            <w:r>
              <w:t xml:space="preserve">Students will </w:t>
            </w:r>
            <w:r w:rsidRPr="00001B79">
              <w:rPr>
                <w:b/>
              </w:rPr>
              <w:t>experience</w:t>
            </w:r>
          </w:p>
          <w:p w:rsidR="00023226" w:rsidRDefault="00023226" w:rsidP="00023226">
            <w:pPr>
              <w:pStyle w:val="ListParagraph"/>
              <w:numPr>
                <w:ilvl w:val="0"/>
                <w:numId w:val="10"/>
              </w:numPr>
              <w:spacing w:after="60" w:line="360" w:lineRule="auto"/>
            </w:pPr>
            <w:r>
              <w:t xml:space="preserve">Students will </w:t>
            </w:r>
            <w:r w:rsidRPr="00001B79">
              <w:rPr>
                <w:b/>
              </w:rPr>
              <w:t>understand/apply</w:t>
            </w:r>
          </w:p>
          <w:p w:rsidR="00023226" w:rsidRPr="005D3FFC" w:rsidRDefault="00023226" w:rsidP="00023226">
            <w:pPr>
              <w:pStyle w:val="ListParagraph"/>
              <w:numPr>
                <w:ilvl w:val="0"/>
                <w:numId w:val="10"/>
              </w:numPr>
              <w:spacing w:after="60" w:line="360" w:lineRule="auto"/>
            </w:pPr>
            <w:r>
              <w:t xml:space="preserve">Students and teachers will </w:t>
            </w:r>
            <w:r w:rsidRPr="00001B79">
              <w:rPr>
                <w:b/>
              </w:rPr>
              <w:t>share</w:t>
            </w:r>
          </w:p>
          <w:p w:rsidR="00023226" w:rsidRDefault="00023226" w:rsidP="00001B79">
            <w:pPr>
              <w:spacing w:after="60"/>
            </w:pPr>
          </w:p>
        </w:tc>
        <w:tc>
          <w:tcPr>
            <w:tcW w:w="4820" w:type="dxa"/>
            <w:vAlign w:val="center"/>
          </w:tcPr>
          <w:p w:rsidR="00023226" w:rsidRDefault="00023226" w:rsidP="00FF1576">
            <w:pPr>
              <w:jc w:val="center"/>
              <w:rPr>
                <w:noProof/>
                <w:lang w:eastAsia="en-AU"/>
              </w:rPr>
            </w:pPr>
            <w:r>
              <w:rPr>
                <w:noProof/>
                <w:lang w:eastAsia="en-AU"/>
              </w:rPr>
              <w:drawing>
                <wp:inline distT="0" distB="0" distL="0" distR="0" wp14:anchorId="724D51A7" wp14:editId="1B425860">
                  <wp:extent cx="1698436" cy="1491605"/>
                  <wp:effectExtent l="0" t="0" r="0" b="0"/>
                  <wp:docPr id="4" name="Picture 4" descr="Circle diagram showing the learning progression through explore, learn, experience, understand/apply and share." title="Design Thinking Method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13884" cy="1592994"/>
                          </a:xfrm>
                          <a:prstGeom prst="rect">
                            <a:avLst/>
                          </a:prstGeom>
                          <a:noFill/>
                        </pic:spPr>
                      </pic:pic>
                    </a:graphicData>
                  </a:graphic>
                </wp:inline>
              </w:drawing>
            </w:r>
          </w:p>
        </w:tc>
      </w:tr>
    </w:tbl>
    <w:p w:rsidR="00DE5288" w:rsidRDefault="00DE5288" w:rsidP="00070417"/>
    <w:p w:rsidR="00A67CD2" w:rsidRDefault="007F787F" w:rsidP="00E853D1">
      <w:pPr>
        <w:pStyle w:val="Heading1"/>
        <w:spacing w:line="360" w:lineRule="auto"/>
      </w:pPr>
      <w:r>
        <w:t>Education Project Design</w:t>
      </w:r>
    </w:p>
    <w:p w:rsidR="00A67CD2" w:rsidRDefault="007F787F" w:rsidP="00E853D1">
      <w:pPr>
        <w:spacing w:line="360" w:lineRule="auto"/>
      </w:pPr>
      <w:r>
        <w:t>T</w:t>
      </w:r>
      <w:r w:rsidRPr="007F787F">
        <w:t xml:space="preserve">he central educational engagement of the project encourages guided inquiry based on the </w:t>
      </w:r>
      <w:r w:rsidR="00E853D1">
        <w:t>core</w:t>
      </w:r>
      <w:r w:rsidRPr="007F787F">
        <w:t xml:space="preserve"> themes of re</w:t>
      </w:r>
      <w:r>
        <w:t>silience, inclusion and service;</w:t>
      </w:r>
      <w:r w:rsidRPr="007F787F">
        <w:t xml:space="preserve"> </w:t>
      </w:r>
      <w:r>
        <w:t>in addition to a range of syllabus-linked online modules.</w:t>
      </w:r>
    </w:p>
    <w:p w:rsidR="00615C41" w:rsidRDefault="007F787F" w:rsidP="00E853D1">
      <w:pPr>
        <w:spacing w:line="360" w:lineRule="auto"/>
      </w:pPr>
      <w:r>
        <w:t>A</w:t>
      </w:r>
      <w:r w:rsidR="00A67CD2" w:rsidRPr="00615C41">
        <w:t xml:space="preserve"> </w:t>
      </w:r>
      <w:r w:rsidR="00615C41" w:rsidRPr="00615C41">
        <w:t>9</w:t>
      </w:r>
      <w:r>
        <w:t>-</w:t>
      </w:r>
      <w:r w:rsidR="00A67CD2">
        <w:t xml:space="preserve">minute video </w:t>
      </w:r>
      <w:r w:rsidR="007A299D">
        <w:t xml:space="preserve">on the </w:t>
      </w:r>
      <w:hyperlink r:id="rId9" w:tgtFrame="_blank" w:history="1">
        <w:r w:rsidR="007A299D" w:rsidRPr="007A299D">
          <w:rPr>
            <w:rStyle w:val="Hyperlink"/>
          </w:rPr>
          <w:t>Invictus Games Sydney 2018 Education Project website</w:t>
        </w:r>
      </w:hyperlink>
      <w:r>
        <w:t>,</w:t>
      </w:r>
      <w:r w:rsidR="007A299D">
        <w:t xml:space="preserve"> </w:t>
      </w:r>
      <w:r>
        <w:t xml:space="preserve">featuring basic facts and key interviews, </w:t>
      </w:r>
      <w:r w:rsidR="00A67CD2">
        <w:t xml:space="preserve">will </w:t>
      </w:r>
      <w:r>
        <w:t xml:space="preserve">assist teachers to </w:t>
      </w:r>
      <w:r w:rsidR="00A67CD2">
        <w:t xml:space="preserve">introduce the context of the Invictus Games. </w:t>
      </w:r>
      <w:r w:rsidR="00615C41">
        <w:t xml:space="preserve">There </w:t>
      </w:r>
      <w:r w:rsidR="007A299D">
        <w:t>will</w:t>
      </w:r>
      <w:r w:rsidR="00615C41">
        <w:t xml:space="preserve"> also </w:t>
      </w:r>
      <w:r w:rsidR="007A299D">
        <w:t xml:space="preserve">be </w:t>
      </w:r>
      <w:r w:rsidR="00615C41">
        <w:t xml:space="preserve">a series of other videos </w:t>
      </w:r>
      <w:r w:rsidR="007A299D">
        <w:t xml:space="preserve">on the website </w:t>
      </w:r>
      <w:r w:rsidR="00615C41">
        <w:t xml:space="preserve">covering each of the </w:t>
      </w:r>
      <w:r w:rsidR="00E853D1">
        <w:t>core</w:t>
      </w:r>
      <w:r w:rsidR="00615C41">
        <w:t xml:space="preserve"> themes.</w:t>
      </w:r>
    </w:p>
    <w:p w:rsidR="00A67CD2" w:rsidRDefault="00A67CD2" w:rsidP="00E853D1">
      <w:pPr>
        <w:spacing w:line="360" w:lineRule="auto"/>
      </w:pPr>
      <w:r>
        <w:t>The intent of this video resource is to expedite student orientation and support teachers in establishing a consistent foundation from which to lead learning. This is important as learning should be based on the Invictus Games Foundation’s core values which are celebrating the positive outcomes of resilience, empathy, inclusivity and empowerment rather than negative aspects such as depression, loss, abandonment or focusing the horrors of war conflict.</w:t>
      </w:r>
    </w:p>
    <w:p w:rsidR="00660D4B" w:rsidRPr="000E458F" w:rsidRDefault="000E458F" w:rsidP="00E853D1">
      <w:pPr>
        <w:spacing w:line="360" w:lineRule="auto"/>
        <w:rPr>
          <w:b/>
        </w:rPr>
      </w:pPr>
      <w:r w:rsidRPr="000E458F">
        <w:rPr>
          <w:b/>
        </w:rPr>
        <w:t>Project</w:t>
      </w:r>
      <w:r w:rsidR="00660D4B" w:rsidRPr="000E458F">
        <w:rPr>
          <w:b/>
        </w:rPr>
        <w:t xml:space="preserve"> content structure:</w:t>
      </w:r>
    </w:p>
    <w:p w:rsidR="00660D4B" w:rsidRDefault="00660D4B" w:rsidP="00E853D1">
      <w:pPr>
        <w:spacing w:line="360" w:lineRule="auto"/>
        <w:jc w:val="center"/>
      </w:pPr>
      <w:r>
        <w:rPr>
          <w:noProof/>
          <w:lang w:eastAsia="en-AU"/>
        </w:rPr>
        <w:drawing>
          <wp:inline distT="0" distB="0" distL="0" distR="0" wp14:anchorId="5B451325" wp14:editId="03FC5C18">
            <wp:extent cx="5547583" cy="3819954"/>
            <wp:effectExtent l="0" t="0" r="0" b="9525"/>
            <wp:docPr id="3" name="Picture 3" descr="The diagram displays a central inquiry task linking to circles representing KLA specific and cross-curricular tasks; expanding from these stem other potential KLA or extension learning tasks." title="Education Project content structur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20427" cy="3870113"/>
                    </a:xfrm>
                    <a:prstGeom prst="rect">
                      <a:avLst/>
                    </a:prstGeom>
                    <a:noFill/>
                  </pic:spPr>
                </pic:pic>
              </a:graphicData>
            </a:graphic>
          </wp:inline>
        </w:drawing>
      </w:r>
    </w:p>
    <w:p w:rsidR="00660D4B" w:rsidRDefault="00660D4B" w:rsidP="00E853D1">
      <w:pPr>
        <w:spacing w:line="360" w:lineRule="auto"/>
      </w:pPr>
    </w:p>
    <w:p w:rsidR="00E853D1" w:rsidRDefault="00E853D1" w:rsidP="00E853D1">
      <w:pPr>
        <w:pStyle w:val="Heading1"/>
        <w:spacing w:line="360" w:lineRule="auto"/>
      </w:pPr>
      <w:r>
        <w:t>Join our Education Project Sharing Community</w:t>
      </w:r>
    </w:p>
    <w:p w:rsidR="00E853D1" w:rsidRPr="009900D6" w:rsidRDefault="00E853D1" w:rsidP="00E853D1">
      <w:pPr>
        <w:spacing w:line="360" w:lineRule="auto"/>
      </w:pPr>
      <w:r w:rsidRPr="009900D6">
        <w:t>Share your ideas with us!</w:t>
      </w:r>
    </w:p>
    <w:p w:rsidR="00E853D1" w:rsidRPr="009900D6" w:rsidRDefault="00E853D1" w:rsidP="00E853D1">
      <w:pPr>
        <w:spacing w:line="360" w:lineRule="auto"/>
      </w:pPr>
      <w:r w:rsidRPr="009900D6">
        <w:t xml:space="preserve">We are inviting teachers to </w:t>
      </w:r>
      <w:r w:rsidR="000E458F" w:rsidRPr="009900D6">
        <w:t xml:space="preserve">submit ideas for new lessons to build into the Project </w:t>
      </w:r>
      <w:r w:rsidR="000E458F">
        <w:t xml:space="preserve">and the opportunity to </w:t>
      </w:r>
      <w:r w:rsidRPr="009900D6">
        <w:t>share the outcomes of their student’s work.</w:t>
      </w:r>
    </w:p>
    <w:p w:rsidR="000E458F" w:rsidRDefault="00E853D1" w:rsidP="00E853D1">
      <w:pPr>
        <w:spacing w:line="360" w:lineRule="auto"/>
      </w:pPr>
      <w:r w:rsidRPr="009900D6">
        <w:t xml:space="preserve">Do you have an existing resource or lesson which could be adapted to the Invictus Games </w:t>
      </w:r>
      <w:r w:rsidR="000E458F">
        <w:t xml:space="preserve">core </w:t>
      </w:r>
      <w:r w:rsidRPr="009900D6">
        <w:t>themes or is there something new you could add to the Project?</w:t>
      </w:r>
      <w:r w:rsidR="00FC178A">
        <w:t xml:space="preserve"> </w:t>
      </w:r>
    </w:p>
    <w:p w:rsidR="00E853D1" w:rsidRDefault="004744D3" w:rsidP="00E853D1">
      <w:pPr>
        <w:spacing w:line="360" w:lineRule="auto"/>
        <w:rPr>
          <w:color w:val="FF0000"/>
        </w:rPr>
      </w:pPr>
      <w:r>
        <w:t xml:space="preserve">Download this </w:t>
      </w:r>
      <w:r w:rsidRPr="004744D3">
        <w:rPr>
          <w:highlight w:val="yellow"/>
        </w:rPr>
        <w:t>google form</w:t>
      </w:r>
      <w:r>
        <w:t xml:space="preserve"> to add your resource and submit it to our team.</w:t>
      </w:r>
    </w:p>
    <w:p w:rsidR="00615C41" w:rsidRPr="00E853D1" w:rsidRDefault="00E853D1" w:rsidP="000E458F">
      <w:pPr>
        <w:rPr>
          <w:rFonts w:ascii="Verdana" w:eastAsiaTheme="majorEastAsia" w:hAnsi="Verdana" w:cstheme="majorBidi"/>
          <w:b/>
          <w:sz w:val="28"/>
          <w:szCs w:val="32"/>
        </w:rPr>
      </w:pPr>
      <w:r w:rsidRPr="00E853D1">
        <w:rPr>
          <w:rFonts w:ascii="Verdana" w:eastAsiaTheme="majorEastAsia" w:hAnsi="Verdana" w:cstheme="majorBidi"/>
          <w:b/>
          <w:sz w:val="28"/>
          <w:szCs w:val="32"/>
        </w:rPr>
        <w:t>Key Inquiry Focus Questions</w:t>
      </w:r>
    </w:p>
    <w:p w:rsidR="00615C41" w:rsidRPr="00615C41" w:rsidRDefault="00615C41" w:rsidP="00E853D1">
      <w:pPr>
        <w:spacing w:line="360" w:lineRule="auto"/>
        <w:rPr>
          <w:bCs/>
        </w:rPr>
      </w:pPr>
      <w:r w:rsidRPr="007A299D">
        <w:rPr>
          <w:b/>
          <w:bCs/>
        </w:rPr>
        <w:t>INCLUSION</w:t>
      </w:r>
      <w:r w:rsidRPr="00615C41">
        <w:rPr>
          <w:bCs/>
        </w:rPr>
        <w:t xml:space="preserve"> AND </w:t>
      </w:r>
      <w:r w:rsidR="00660D4B">
        <w:rPr>
          <w:bCs/>
        </w:rPr>
        <w:t xml:space="preserve">THE </w:t>
      </w:r>
      <w:r w:rsidRPr="00615C41">
        <w:rPr>
          <w:bCs/>
        </w:rPr>
        <w:t xml:space="preserve">INVICTUS GAMES </w:t>
      </w:r>
    </w:p>
    <w:p w:rsidR="00E853D1" w:rsidRDefault="00E853D1" w:rsidP="00E853D1">
      <w:pPr>
        <w:pStyle w:val="ListParagraph"/>
        <w:numPr>
          <w:ilvl w:val="0"/>
          <w:numId w:val="12"/>
        </w:numPr>
        <w:spacing w:line="360" w:lineRule="auto"/>
      </w:pPr>
      <w:r>
        <w:t>People with disabilities experience a range of challenges in everyday life. Can you identify some of these challenges? Explore how you could improve accessibility in your local community and for the future.</w:t>
      </w:r>
    </w:p>
    <w:p w:rsidR="00E853D1" w:rsidRDefault="00E853D1" w:rsidP="00E853D1">
      <w:pPr>
        <w:pStyle w:val="ListParagraph"/>
        <w:numPr>
          <w:ilvl w:val="0"/>
          <w:numId w:val="12"/>
        </w:numPr>
        <w:spacing w:line="360" w:lineRule="auto"/>
      </w:pPr>
      <w:r>
        <w:t>There are a range of accessible adaptations in society for people with a physical disability - but not all disabilities are physical. How do you identify disabilities which aren’t physical? Explore how you can better support mental health and wellbeing in your community.</w:t>
      </w:r>
    </w:p>
    <w:p w:rsidR="00E853D1" w:rsidRDefault="00E853D1" w:rsidP="00E853D1">
      <w:pPr>
        <w:pStyle w:val="ListParagraph"/>
        <w:numPr>
          <w:ilvl w:val="0"/>
          <w:numId w:val="12"/>
        </w:numPr>
        <w:spacing w:line="360" w:lineRule="auto"/>
      </w:pPr>
      <w:r>
        <w:t>The Invictus Games uses sport to promote positive physical and mental health for injured veterans. What other ways have soldiers coped with post-war challenges in the past? Explore how what we’ve learned in the past can help us in the future.</w:t>
      </w:r>
    </w:p>
    <w:p w:rsidR="00E853D1" w:rsidRDefault="00E853D1" w:rsidP="00E853D1">
      <w:pPr>
        <w:pStyle w:val="ListParagraph"/>
        <w:numPr>
          <w:ilvl w:val="0"/>
          <w:numId w:val="12"/>
        </w:numPr>
        <w:spacing w:line="360" w:lineRule="auto"/>
      </w:pPr>
      <w:r>
        <w:t>The Invictus Games showcases the ability of wounded war veterans with a positive approach. How can we support and include other types of communities who face challenges and share their stories? Explore the ideas behind the Invictus Games and use them as a model for change in other areas of the community</w:t>
      </w:r>
    </w:p>
    <w:p w:rsidR="00615C41" w:rsidRPr="00615C41" w:rsidRDefault="00615C41" w:rsidP="00E853D1">
      <w:pPr>
        <w:spacing w:line="360" w:lineRule="auto"/>
      </w:pPr>
      <w:r w:rsidRPr="007A299D">
        <w:rPr>
          <w:b/>
        </w:rPr>
        <w:t>RESILIENCE</w:t>
      </w:r>
      <w:r w:rsidRPr="00615C41">
        <w:t xml:space="preserve"> AND </w:t>
      </w:r>
      <w:r w:rsidR="00660D4B">
        <w:rPr>
          <w:bCs/>
        </w:rPr>
        <w:t xml:space="preserve">THE </w:t>
      </w:r>
      <w:r w:rsidRPr="00615C41">
        <w:t>INVICTUS GAMES</w:t>
      </w:r>
    </w:p>
    <w:p w:rsidR="00E853D1" w:rsidRDefault="00E853D1" w:rsidP="00E853D1">
      <w:pPr>
        <w:pStyle w:val="ListParagraph"/>
        <w:numPr>
          <w:ilvl w:val="0"/>
          <w:numId w:val="13"/>
        </w:numPr>
        <w:spacing w:line="360" w:lineRule="auto"/>
      </w:pPr>
      <w:r>
        <w:t>The Invictus Games uses sport to build resilience. How does sport impact on us mentally and physically? Explore options at your school to improve mental and physical wellbeing.</w:t>
      </w:r>
    </w:p>
    <w:p w:rsidR="00E853D1" w:rsidRDefault="00E853D1" w:rsidP="00E853D1">
      <w:pPr>
        <w:pStyle w:val="ListParagraph"/>
        <w:numPr>
          <w:ilvl w:val="0"/>
          <w:numId w:val="13"/>
        </w:numPr>
        <w:spacing w:line="360" w:lineRule="auto"/>
      </w:pPr>
      <w:r>
        <w:t>We are learning all the time about resilience and its links to mental and physical health. What have we learnt about the past which has improved life for others? Explore what the future holds for those affected by mental and physical health challenges.</w:t>
      </w:r>
    </w:p>
    <w:p w:rsidR="00E853D1" w:rsidRDefault="00E853D1" w:rsidP="00E853D1">
      <w:pPr>
        <w:pStyle w:val="ListParagraph"/>
        <w:numPr>
          <w:ilvl w:val="0"/>
          <w:numId w:val="13"/>
        </w:numPr>
        <w:spacing w:line="360" w:lineRule="auto"/>
      </w:pPr>
      <w:r>
        <w:t>People with disabilities experience a range of challenges in everyday life. How could you help someone who has a disability? Explore what changes that you could make in your school to make it more accessible.</w:t>
      </w:r>
    </w:p>
    <w:p w:rsidR="00E853D1" w:rsidRDefault="00E853D1" w:rsidP="00E853D1">
      <w:pPr>
        <w:pStyle w:val="ListParagraph"/>
        <w:numPr>
          <w:ilvl w:val="0"/>
          <w:numId w:val="13"/>
        </w:numPr>
        <w:spacing w:line="360" w:lineRule="auto"/>
      </w:pPr>
      <w:r>
        <w:t>There are a range of accessible adaptations in society for people with a physical disability - but not all disabilities are physical. How do you identify disabilities which aren’t physical? Explore how you can better support mental health and wellbeing in your community.</w:t>
      </w:r>
    </w:p>
    <w:p w:rsidR="00615C41" w:rsidRPr="00615C41" w:rsidRDefault="00615C41" w:rsidP="00E853D1">
      <w:pPr>
        <w:spacing w:line="360" w:lineRule="auto"/>
      </w:pPr>
      <w:r w:rsidRPr="007A299D">
        <w:rPr>
          <w:b/>
        </w:rPr>
        <w:t>SERVICE</w:t>
      </w:r>
      <w:r w:rsidRPr="00615C41">
        <w:t xml:space="preserve"> AND</w:t>
      </w:r>
      <w:r w:rsidR="00660D4B" w:rsidRPr="00660D4B">
        <w:rPr>
          <w:bCs/>
        </w:rPr>
        <w:t xml:space="preserve"> </w:t>
      </w:r>
      <w:r w:rsidR="00660D4B">
        <w:rPr>
          <w:bCs/>
        </w:rPr>
        <w:t>THE</w:t>
      </w:r>
      <w:r w:rsidRPr="00615C41">
        <w:t xml:space="preserve"> INVICTUS GAMES</w:t>
      </w:r>
    </w:p>
    <w:p w:rsidR="00E853D1" w:rsidRDefault="00E853D1" w:rsidP="00E853D1">
      <w:pPr>
        <w:pStyle w:val="ListParagraph"/>
        <w:numPr>
          <w:ilvl w:val="0"/>
          <w:numId w:val="14"/>
        </w:numPr>
        <w:spacing w:line="360" w:lineRule="auto"/>
      </w:pPr>
      <w:r>
        <w:t>There are many different kinds of service in our community – military, community and others. What are the benefits of service to our community? Explore the kinds of service that might exist in your school or local communities.</w:t>
      </w:r>
    </w:p>
    <w:p w:rsidR="00E853D1" w:rsidRDefault="00E853D1" w:rsidP="00E853D1">
      <w:pPr>
        <w:pStyle w:val="ListParagraph"/>
        <w:numPr>
          <w:ilvl w:val="0"/>
          <w:numId w:val="14"/>
        </w:numPr>
        <w:spacing w:line="360" w:lineRule="auto"/>
      </w:pPr>
      <w:r>
        <w:t>The veterans of the Invictus Games have served our nation. What does it mean to serve your country? Explore the benefits that both service people and our society gain from serving others.</w:t>
      </w:r>
    </w:p>
    <w:p w:rsidR="00E853D1" w:rsidRDefault="00E853D1" w:rsidP="00E853D1">
      <w:pPr>
        <w:pStyle w:val="ListParagraph"/>
        <w:numPr>
          <w:ilvl w:val="0"/>
          <w:numId w:val="14"/>
        </w:numPr>
        <w:spacing w:line="360" w:lineRule="auto"/>
      </w:pPr>
      <w:r>
        <w:t>The Invictus Games veterans have served in many different capacities – through conflict, peace time and even natural disasters. What forms of military service are there? Explore the different roles that the military plays and explore the different organisations that comprise our Defence Forces.</w:t>
      </w:r>
    </w:p>
    <w:p w:rsidR="009900D6" w:rsidRDefault="00E853D1" w:rsidP="00E853D1">
      <w:pPr>
        <w:pStyle w:val="ListParagraph"/>
        <w:numPr>
          <w:ilvl w:val="0"/>
          <w:numId w:val="14"/>
        </w:numPr>
        <w:spacing w:line="360" w:lineRule="auto"/>
      </w:pPr>
      <w:r>
        <w:t>The Invictus Games celebrates veterans from the Defence Forces who have served our country. How could we celebrate other forms of community? Explore ideas to support the recognition and celebration of those who serve in other capacities.</w:t>
      </w:r>
    </w:p>
    <w:p w:rsidR="00E853D1" w:rsidRDefault="00E853D1">
      <w:pPr>
        <w:rPr>
          <w:rFonts w:ascii="Verdana" w:eastAsiaTheme="majorEastAsia" w:hAnsi="Verdana" w:cstheme="majorBidi"/>
          <w:b/>
          <w:sz w:val="28"/>
          <w:szCs w:val="32"/>
        </w:rPr>
      </w:pPr>
      <w:r>
        <w:br w:type="page"/>
      </w:r>
    </w:p>
    <w:p w:rsidR="00787129" w:rsidRDefault="007F787F" w:rsidP="00E853D1">
      <w:pPr>
        <w:pStyle w:val="Heading1"/>
        <w:spacing w:line="360" w:lineRule="auto"/>
      </w:pPr>
      <w:r>
        <w:t>Online Modules</w:t>
      </w:r>
    </w:p>
    <w:p w:rsidR="008F74DA" w:rsidRDefault="008F74DA" w:rsidP="008F74DA">
      <w:pPr>
        <w:spacing w:line="360" w:lineRule="auto"/>
      </w:pPr>
      <w:r w:rsidRPr="008F74DA">
        <w:t>The</w:t>
      </w:r>
      <w:r>
        <w:t>se</w:t>
      </w:r>
      <w:r w:rsidRPr="008F74DA">
        <w:t xml:space="preserve"> online modules are available through </w:t>
      </w:r>
      <w:r>
        <w:t xml:space="preserve">the </w:t>
      </w:r>
      <w:hyperlink r:id="rId11" w:tgtFrame="_blank" w:history="1">
        <w:r w:rsidRPr="007A299D">
          <w:rPr>
            <w:rStyle w:val="Hyperlink"/>
          </w:rPr>
          <w:t>Invictus Games Sydney 2018 Education Project website</w:t>
        </w:r>
      </w:hyperlink>
      <w:r w:rsidRPr="008F74DA">
        <w:t xml:space="preserve"> and </w:t>
      </w:r>
      <w:r>
        <w:t xml:space="preserve">feature a </w:t>
      </w:r>
      <w:proofErr w:type="gramStart"/>
      <w:r>
        <w:t>range</w:t>
      </w:r>
      <w:proofErr w:type="gramEnd"/>
      <w:r>
        <w:t xml:space="preserve"> of dynamic and engaging educational challenges for students using the Adapt Learning platform.</w:t>
      </w:r>
    </w:p>
    <w:p w:rsidR="008F74DA" w:rsidRPr="008F74DA" w:rsidRDefault="008F74DA" w:rsidP="008F74DA">
      <w:pPr>
        <w:spacing w:line="240" w:lineRule="auto"/>
        <w:rPr>
          <w:color w:val="0563C1" w:themeColor="hyperlink"/>
          <w:u w:val="single"/>
        </w:rPr>
      </w:pPr>
    </w:p>
    <w:p w:rsidR="00FC178A" w:rsidRPr="00FC178A" w:rsidRDefault="00FC178A" w:rsidP="00FC178A">
      <w:pPr>
        <w:spacing w:line="360" w:lineRule="auto"/>
        <w:rPr>
          <w:b/>
          <w:bCs/>
        </w:rPr>
      </w:pPr>
      <w:r w:rsidRPr="00FC178A">
        <w:rPr>
          <w:b/>
          <w:bCs/>
        </w:rPr>
        <w:t>STAGE 3: ADAPTIVE SPORT, TECHNOLOGY AND THE INVICTUS GAMES</w:t>
      </w:r>
    </w:p>
    <w:p w:rsidR="00FC178A" w:rsidRPr="00FC178A" w:rsidRDefault="00FC178A" w:rsidP="00FC178A">
      <w:pPr>
        <w:spacing w:line="360" w:lineRule="auto"/>
      </w:pPr>
      <w:r w:rsidRPr="00FC178A">
        <w:t>This module explores the skills, strategies and technologies available to manage change and challenges, linking the history of technology with mindsets of resilience and strength to the modern-day Invictus Games competitor.</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pPr>
      <w:r w:rsidRPr="00FC178A">
        <w:rPr>
          <w:b/>
          <w:bCs/>
          <w:vertAlign w:val="subscript"/>
        </w:rPr>
        <w:t>NSW Syllabus</w:t>
      </w:r>
      <w:r w:rsidRPr="00FC178A">
        <w:rPr>
          <w:vertAlign w:val="subscript"/>
        </w:rPr>
        <w:t>: EN3-3A, EN3-1A, EN3-8D, EN3-9E, MA3-18SP, MA3-3WM, MA3-1WM, PD3-1, PD3-3, V-2, V-3, V-5, V-6, HT3-3, ST3-3VA</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pPr>
      <w:r w:rsidRPr="00FC178A">
        <w:rPr>
          <w:b/>
          <w:bCs/>
          <w:vertAlign w:val="subscript"/>
        </w:rPr>
        <w:t>Australian Curriculum</w:t>
      </w:r>
      <w:r w:rsidRPr="00FC178A">
        <w:rPr>
          <w:vertAlign w:val="subscript"/>
        </w:rPr>
        <w:t>: ACELA1504, ACELY1708, ACELY1711, ACELA1505, ACELT1611, ACELA1524, ACELA1511, ACELY1712, ACELY1702, ACELY1703, ACELY1713, ACELA1501, ACELA1516, ACELA1515, ACELT1795, ACELY1700, ACELY1710, ACELY1796, ACELY1816, ACELY1709, ACELT1610, ACELT1613, ACELA1502, ACELT1608, ACELY1699, ACMSP118, ACMSP119, ACMSP120, ACMSP147, ACMSP148, ACPPS051, ACPPS052, ACPPS053, ACPPS056, ACPPS055</w:t>
      </w:r>
    </w:p>
    <w:p w:rsidR="00FC178A" w:rsidRPr="00FC178A" w:rsidRDefault="00FC178A" w:rsidP="00FC178A">
      <w:pPr>
        <w:spacing w:line="360" w:lineRule="auto"/>
        <w:rPr>
          <w:b/>
          <w:bCs/>
        </w:rPr>
      </w:pPr>
    </w:p>
    <w:p w:rsidR="00FC178A" w:rsidRPr="00FC178A" w:rsidRDefault="00FC178A" w:rsidP="00FC178A">
      <w:pPr>
        <w:spacing w:line="360" w:lineRule="auto"/>
        <w:rPr>
          <w:b/>
          <w:bCs/>
        </w:rPr>
      </w:pPr>
      <w:r w:rsidRPr="00FC178A">
        <w:rPr>
          <w:b/>
          <w:bCs/>
        </w:rPr>
        <w:t>STAGE 4: SPORTS SCIENCE AND BIOMECHANICS IN ELITE AND ADAPTIVE SPORTS</w:t>
      </w:r>
    </w:p>
    <w:p w:rsidR="00FC178A" w:rsidRPr="00FC178A" w:rsidRDefault="00FC178A" w:rsidP="00FC178A">
      <w:pPr>
        <w:spacing w:line="360" w:lineRule="auto"/>
      </w:pPr>
      <w:r w:rsidRPr="00FC178A">
        <w:t>This module explores the science of biomechanics to capture, analyse and improve the ways their bodies perform in order to reach undiscovered peaks of achievements – with a focus on marginal gains, or small improvements and modifications in movements that can lead to major impacts on performance.</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pPr>
      <w:r w:rsidRPr="00FC178A">
        <w:rPr>
          <w:b/>
          <w:bCs/>
          <w:vertAlign w:val="subscript"/>
        </w:rPr>
        <w:t>NSW Syllabus</w:t>
      </w:r>
      <w:r w:rsidRPr="00FC178A">
        <w:rPr>
          <w:vertAlign w:val="subscript"/>
        </w:rPr>
        <w:t>: PD4-4, PD4-11, (PDHPE) 4.4, 4.5, 4.15, MA4-11NA, MA4-15MG</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pPr>
      <w:r w:rsidRPr="00FC178A">
        <w:rPr>
          <w:b/>
          <w:bCs/>
          <w:vertAlign w:val="subscript"/>
        </w:rPr>
        <w:t>Australian Curriculum</w:t>
      </w:r>
      <w:r w:rsidRPr="00FC178A">
        <w:rPr>
          <w:vertAlign w:val="subscript"/>
        </w:rPr>
        <w:t>: ACPMP080, ACPMP084, ACPMP082, ACPMP087, ACPMP086, ACPMP088, ACMNA178, ACMMG181, ACMNA193, ACMNA194, ACMMG199</w:t>
      </w:r>
    </w:p>
    <w:p w:rsidR="00FC178A" w:rsidRDefault="00FC178A" w:rsidP="00FC178A">
      <w:pPr>
        <w:spacing w:line="360" w:lineRule="auto"/>
        <w:rPr>
          <w:b/>
          <w:bCs/>
        </w:rPr>
      </w:pPr>
    </w:p>
    <w:p w:rsidR="00FC178A" w:rsidRPr="00FC178A" w:rsidRDefault="00FC178A" w:rsidP="00FC178A">
      <w:pPr>
        <w:spacing w:line="360" w:lineRule="auto"/>
        <w:rPr>
          <w:b/>
          <w:bCs/>
        </w:rPr>
      </w:pPr>
      <w:r w:rsidRPr="00FC178A">
        <w:rPr>
          <w:b/>
          <w:bCs/>
        </w:rPr>
        <w:t>STAGE 4: STORYTELLING, COMMUNITY AND SERVICE – CREATING TEXTS AROUND THE INVICTUS GAMES</w:t>
      </w:r>
    </w:p>
    <w:p w:rsidR="00FC178A" w:rsidRPr="00FC178A" w:rsidRDefault="00FC178A" w:rsidP="00FC178A">
      <w:pPr>
        <w:spacing w:line="360" w:lineRule="auto"/>
      </w:pPr>
      <w:r w:rsidRPr="00FC178A">
        <w:t>This module focuses on the role of storytelling in our community, exploring the meaning of service, leading to production of a range of text types through to collaborative publication.</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rPr>
          <w:b/>
          <w:bCs/>
        </w:rPr>
      </w:pPr>
      <w:r w:rsidRPr="00FC178A">
        <w:rPr>
          <w:b/>
          <w:bCs/>
          <w:vertAlign w:val="subscript"/>
        </w:rPr>
        <w:t xml:space="preserve">NSW Syllabus: </w:t>
      </w:r>
      <w:r w:rsidRPr="00FC178A">
        <w:rPr>
          <w:bCs/>
          <w:vertAlign w:val="subscript"/>
        </w:rPr>
        <w:t>EN4-2A, EN4-3B, EN4-7D, EN4-9E, GE4-3, GE4-4, GE4-6</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rPr>
          <w:b/>
          <w:bCs/>
        </w:rPr>
      </w:pPr>
      <w:r w:rsidRPr="00FC178A">
        <w:rPr>
          <w:b/>
          <w:bCs/>
          <w:vertAlign w:val="subscript"/>
        </w:rPr>
        <w:t xml:space="preserve">Australian Curriculum: </w:t>
      </w:r>
      <w:r w:rsidRPr="00FC178A">
        <w:rPr>
          <w:bCs/>
          <w:vertAlign w:val="subscript"/>
        </w:rPr>
        <w:t>ACELT1620, ACELA1528, ACELY1729, ACELY1726, ACELY1728, ACELY1738, ACELY1723, ACELY1734, ACELY1765, ACELY1722, ACELY1727, ACELY1804, ACELY1808, ACELA1534, ACELA1545, ACELA1546, ACELA1549, ACELA1542, ACELT1767, ACELA1537, ACELA1536, ACELA1809, ACELA1763, ACELA1766, ACELA1532, ACELA1544, ACELA1539</w:t>
      </w:r>
    </w:p>
    <w:p w:rsidR="00E853D1" w:rsidRPr="00FC178A" w:rsidRDefault="00E853D1" w:rsidP="00E853D1">
      <w:pPr>
        <w:spacing w:line="360" w:lineRule="auto"/>
        <w:rPr>
          <w:b/>
          <w:bCs/>
        </w:rPr>
      </w:pPr>
    </w:p>
    <w:p w:rsidR="00FC178A" w:rsidRPr="00FC178A" w:rsidRDefault="00FC178A" w:rsidP="00FC178A">
      <w:pPr>
        <w:spacing w:line="360" w:lineRule="auto"/>
        <w:rPr>
          <w:b/>
          <w:bCs/>
        </w:rPr>
      </w:pPr>
      <w:r w:rsidRPr="00FC178A">
        <w:rPr>
          <w:b/>
          <w:bCs/>
        </w:rPr>
        <w:t>STAGE 4: WAR AND THE HEALING POWER OF ART – EXPLORING VISUAL ARTWORKS AND THEIR IMPACT ON COMMUNITY</w:t>
      </w:r>
    </w:p>
    <w:p w:rsidR="00FC178A" w:rsidRPr="00FC178A" w:rsidRDefault="00FC178A" w:rsidP="00FC178A">
      <w:pPr>
        <w:spacing w:line="360" w:lineRule="auto"/>
      </w:pPr>
      <w:r w:rsidRPr="00FC178A">
        <w:t>This module focuses on the Canadian artwork ‘Lest We Forget’, exploring the concepts and practices behind art-making, as well as exploring the impact of artwork on the larger community.</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pPr>
      <w:r w:rsidRPr="00FC178A">
        <w:rPr>
          <w:b/>
          <w:bCs/>
          <w:vertAlign w:val="subscript"/>
        </w:rPr>
        <w:t>NSW Syllabus</w:t>
      </w:r>
      <w:r w:rsidRPr="00FC178A">
        <w:rPr>
          <w:vertAlign w:val="subscript"/>
        </w:rPr>
        <w:t>: (Art making) 4.2, 4.4, (Critical and historical studies) 4.8</w:t>
      </w:r>
    </w:p>
    <w:p w:rsidR="00FC178A" w:rsidRDefault="00FC178A" w:rsidP="00E853D1">
      <w:pPr>
        <w:spacing w:line="360" w:lineRule="auto"/>
      </w:pPr>
    </w:p>
    <w:p w:rsidR="00FC178A" w:rsidRPr="00FC178A" w:rsidRDefault="00FC178A" w:rsidP="00FC178A">
      <w:pPr>
        <w:spacing w:line="360" w:lineRule="auto"/>
        <w:rPr>
          <w:b/>
          <w:bCs/>
        </w:rPr>
      </w:pPr>
      <w:r w:rsidRPr="00FC178A">
        <w:rPr>
          <w:b/>
          <w:bCs/>
        </w:rPr>
        <w:t>STAGE 5: THE SCIENCE OF PROSTHETICS THROUGH THE AGES</w:t>
      </w:r>
    </w:p>
    <w:p w:rsidR="00FC178A" w:rsidRPr="00FC178A" w:rsidRDefault="00FC178A" w:rsidP="00FC178A">
      <w:pPr>
        <w:spacing w:line="360" w:lineRule="auto"/>
      </w:pPr>
      <w:r w:rsidRPr="00FC178A">
        <w:t>This module explores developments in prosthetic technologies through time to assist veterans, including the Invictus Games competitors, as well as focusing on the future possibilities.</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pPr>
      <w:r w:rsidRPr="00FC178A">
        <w:rPr>
          <w:b/>
          <w:bCs/>
          <w:vertAlign w:val="subscript"/>
        </w:rPr>
        <w:t>NSW Syllabus: </w:t>
      </w:r>
      <w:r w:rsidRPr="00FC178A">
        <w:rPr>
          <w:vertAlign w:val="subscript"/>
        </w:rPr>
        <w:t xml:space="preserve">WS5.1, WS5.2, WS5.3, WS8, PW2a, PW2d, </w:t>
      </w:r>
      <w:proofErr w:type="gramStart"/>
      <w:r w:rsidRPr="00FC178A">
        <w:rPr>
          <w:vertAlign w:val="subscript"/>
        </w:rPr>
        <w:t>LW3f</w:t>
      </w:r>
      <w:r w:rsidRPr="00FC178A">
        <w:rPr>
          <w:b/>
          <w:bCs/>
          <w:vertAlign w:val="subscript"/>
        </w:rPr>
        <w:br/>
        <w:t>Australian</w:t>
      </w:r>
      <w:proofErr w:type="gramEnd"/>
      <w:r w:rsidRPr="00FC178A">
        <w:rPr>
          <w:b/>
          <w:bCs/>
          <w:vertAlign w:val="subscript"/>
        </w:rPr>
        <w:t xml:space="preserve"> Curriculum: </w:t>
      </w:r>
      <w:r w:rsidRPr="00FC178A">
        <w:rPr>
          <w:vertAlign w:val="subscript"/>
        </w:rPr>
        <w:t>ACSHE160, ACSHE228, ACIS165, ACSIS169, ACSIS170, ACSIS171, ACSSU190, ACSHE192, ACSHE194, ACSIS198, ACSIS199, ACSIS200, ACSIS203, ACSIS204</w:t>
      </w:r>
    </w:p>
    <w:p w:rsidR="00FC178A" w:rsidRDefault="00FC178A" w:rsidP="00E853D1">
      <w:pPr>
        <w:spacing w:line="360" w:lineRule="auto"/>
      </w:pPr>
    </w:p>
    <w:p w:rsidR="00FC178A" w:rsidRPr="00FC178A" w:rsidRDefault="00FC178A" w:rsidP="00FC178A">
      <w:pPr>
        <w:spacing w:line="360" w:lineRule="auto"/>
        <w:rPr>
          <w:b/>
          <w:bCs/>
        </w:rPr>
      </w:pPr>
      <w:r w:rsidRPr="00FC178A">
        <w:rPr>
          <w:b/>
          <w:bCs/>
        </w:rPr>
        <w:t>STAGE 5: VETERAN WELLBEING – CHANGING PERCEPTIONS FROM WWI TO TODAY’S INVICTUS GAMES</w:t>
      </w:r>
    </w:p>
    <w:p w:rsidR="00FC178A" w:rsidRPr="00FC178A" w:rsidRDefault="00FC178A" w:rsidP="00FC178A">
      <w:pPr>
        <w:spacing w:line="360" w:lineRule="auto"/>
      </w:pPr>
      <w:r w:rsidRPr="00FC178A">
        <w:t>This module examines perceptions of veteran wellbeing and Australia’s role in wars throughout the 20th century, linking these historical perceptions with today’s celebration of Invictus Games competitors.</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pPr>
      <w:r w:rsidRPr="00FC178A">
        <w:rPr>
          <w:b/>
          <w:bCs/>
          <w:vertAlign w:val="subscript"/>
        </w:rPr>
        <w:t>NSW Syllabus</w:t>
      </w:r>
      <w:r w:rsidRPr="00FC178A">
        <w:rPr>
          <w:vertAlign w:val="subscript"/>
        </w:rPr>
        <w:t>: HT5-1, HT5-4, HT5-5, HT5-7, HT5-9, EN5-3B, EN5-4B, EN5-7D</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pPr>
      <w:r w:rsidRPr="00FC178A">
        <w:rPr>
          <w:b/>
          <w:bCs/>
          <w:vertAlign w:val="subscript"/>
        </w:rPr>
        <w:t>Australian Curriculum</w:t>
      </w:r>
      <w:r w:rsidRPr="00FC178A">
        <w:rPr>
          <w:vertAlign w:val="subscript"/>
        </w:rPr>
        <w:t>: ACELT1641, ACELT1643, ACELA1557, ACELA1569, ACELA1550, ACELA1563, ACELA1559, ACELA1570, ACELA1567, ACELA1571, ACELA1573, ACELA1562, ACELA1556, ACELT1815, ACELY1813, ACELY1811, ACELT1636, ACELT1638, ACELT1637, ACELA1565, ACELT1635, ACELT1812</w:t>
      </w:r>
    </w:p>
    <w:p w:rsidR="00FC178A" w:rsidRDefault="00FC178A" w:rsidP="00E853D1">
      <w:pPr>
        <w:spacing w:line="360" w:lineRule="auto"/>
      </w:pPr>
    </w:p>
    <w:p w:rsidR="00FC178A" w:rsidRPr="00FC178A" w:rsidRDefault="00FC178A" w:rsidP="00FC178A">
      <w:pPr>
        <w:spacing w:line="360" w:lineRule="auto"/>
        <w:rPr>
          <w:b/>
          <w:bCs/>
        </w:rPr>
      </w:pPr>
      <w:r w:rsidRPr="00FC178A">
        <w:rPr>
          <w:b/>
          <w:bCs/>
        </w:rPr>
        <w:t>STAGE 5: BUILD A BETTER WORLD: INVESTIGATING INCLUSIVE AND ACCESSIBLE TECHNOLOGIES AND SPACES</w:t>
      </w:r>
    </w:p>
    <w:p w:rsidR="00FC178A" w:rsidRPr="00FC178A" w:rsidRDefault="00FC178A" w:rsidP="00FC178A">
      <w:pPr>
        <w:spacing w:line="360" w:lineRule="auto"/>
      </w:pPr>
      <w:r w:rsidRPr="00FC178A">
        <w:t>This module investigates inventions and designs that seek to improve access for all, leading to a project-based task in which students design, market and create a prototype of their own inclusive invention.</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pPr>
      <w:r w:rsidRPr="00FC178A">
        <w:rPr>
          <w:b/>
          <w:bCs/>
          <w:vertAlign w:val="subscript"/>
        </w:rPr>
        <w:t>NSW Syllabus</w:t>
      </w:r>
      <w:r w:rsidRPr="00FC178A">
        <w:rPr>
          <w:vertAlign w:val="subscript"/>
        </w:rPr>
        <w:t>: HT5-2, HT5-4, GE5-1, GE5-6, EN5-3B, EN5-9E, (Design and Technology) 5.2.1, 5.3.2, 5.4.1</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pPr>
      <w:r w:rsidRPr="00FC178A">
        <w:rPr>
          <w:b/>
          <w:bCs/>
          <w:vertAlign w:val="subscript"/>
        </w:rPr>
        <w:t>Australian Curriculum</w:t>
      </w:r>
      <w:r w:rsidRPr="00FC178A">
        <w:rPr>
          <w:vertAlign w:val="subscript"/>
        </w:rPr>
        <w:t>: ACELT1641, ACELT1643, ACELA1557, ACELA1569, ACELA1550, ACELA1563, ACELA1559, ACELA1570, ACELA1567, ACELA1571, ACELA1573, ACELA1562, ACELA1556, ACELT1815, ACELY1813, ACELY1811</w:t>
      </w:r>
    </w:p>
    <w:p w:rsidR="00FC178A" w:rsidRDefault="00FC178A" w:rsidP="00E853D1">
      <w:pPr>
        <w:spacing w:line="360" w:lineRule="auto"/>
      </w:pPr>
    </w:p>
    <w:p w:rsidR="00FC178A" w:rsidRPr="00FC178A" w:rsidRDefault="00FC178A" w:rsidP="00FC178A">
      <w:pPr>
        <w:spacing w:line="360" w:lineRule="auto"/>
        <w:rPr>
          <w:b/>
          <w:bCs/>
        </w:rPr>
      </w:pPr>
      <w:r w:rsidRPr="00FC178A">
        <w:rPr>
          <w:b/>
          <w:bCs/>
        </w:rPr>
        <w:t>STAGE 5: THE MODERN WORLD AND AUSTRALIA – AUSTRALIA’S INVOLVEMENT IN RECENT CONFLICT</w:t>
      </w:r>
    </w:p>
    <w:p w:rsidR="00FC178A" w:rsidRPr="00FC178A" w:rsidRDefault="00FC178A" w:rsidP="00FC178A">
      <w:pPr>
        <w:spacing w:line="360" w:lineRule="auto"/>
      </w:pPr>
      <w:r w:rsidRPr="00FC178A">
        <w:t>This module explores Australia's involvement in contemporary conflict and peacekeeping missions, the role of service personnel through time and stories of contemporary service personnel who are competing in the Invictus Games Sydney 2018.</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pPr>
      <w:r w:rsidRPr="00FC178A">
        <w:rPr>
          <w:b/>
          <w:bCs/>
          <w:vertAlign w:val="subscript"/>
        </w:rPr>
        <w:t>NSW Syllabus</w:t>
      </w:r>
      <w:r w:rsidRPr="00FC178A">
        <w:rPr>
          <w:vertAlign w:val="subscript"/>
        </w:rPr>
        <w:t>: HT5-2, HT5-5, HT5-6, HT5-7, HT5-10</w:t>
      </w:r>
    </w:p>
    <w:p w:rsidR="00FC178A" w:rsidRPr="00FC178A" w:rsidRDefault="00FC178A" w:rsidP="00FC178A">
      <w:pPr>
        <w:pBdr>
          <w:top w:val="single" w:sz="4" w:space="1" w:color="auto"/>
          <w:left w:val="single" w:sz="4" w:space="4" w:color="auto"/>
          <w:bottom w:val="single" w:sz="4" w:space="1" w:color="auto"/>
          <w:right w:val="single" w:sz="4" w:space="4" w:color="auto"/>
        </w:pBdr>
        <w:shd w:val="clear" w:color="auto" w:fill="F2F2F2" w:themeFill="background1" w:themeFillShade="F2"/>
        <w:spacing w:line="360" w:lineRule="auto"/>
      </w:pPr>
      <w:r w:rsidRPr="00FC178A">
        <w:rPr>
          <w:b/>
          <w:bCs/>
          <w:vertAlign w:val="subscript"/>
        </w:rPr>
        <w:t>Australian Curriculum</w:t>
      </w:r>
      <w:r w:rsidRPr="00FC178A">
        <w:rPr>
          <w:vertAlign w:val="subscript"/>
        </w:rPr>
        <w:t>: ACOKFH023, ACHHS182, ACHHS183, ACHHS186, ACHHS187, ACHHS189</w:t>
      </w:r>
    </w:p>
    <w:p w:rsidR="00FC178A" w:rsidRPr="00FC178A" w:rsidRDefault="00FC178A" w:rsidP="00E853D1">
      <w:pPr>
        <w:spacing w:line="360" w:lineRule="auto"/>
      </w:pPr>
    </w:p>
    <w:p w:rsidR="00FC178A" w:rsidRDefault="00FC178A">
      <w:pPr>
        <w:rPr>
          <w:rFonts w:ascii="Verdana" w:eastAsiaTheme="majorEastAsia" w:hAnsi="Verdana" w:cstheme="majorBidi"/>
          <w:b/>
          <w:sz w:val="28"/>
          <w:szCs w:val="32"/>
        </w:rPr>
      </w:pPr>
      <w:r>
        <w:rPr>
          <w:rFonts w:ascii="Verdana" w:eastAsiaTheme="majorEastAsia" w:hAnsi="Verdana" w:cstheme="majorBidi"/>
          <w:b/>
          <w:sz w:val="28"/>
          <w:szCs w:val="32"/>
        </w:rPr>
        <w:br w:type="page"/>
      </w:r>
    </w:p>
    <w:p w:rsidR="00FC178A" w:rsidRPr="00FC178A" w:rsidRDefault="00FC178A" w:rsidP="00E853D1">
      <w:pPr>
        <w:spacing w:line="360" w:lineRule="auto"/>
        <w:rPr>
          <w:rFonts w:ascii="Verdana" w:eastAsiaTheme="majorEastAsia" w:hAnsi="Verdana" w:cstheme="majorBidi"/>
          <w:b/>
          <w:sz w:val="28"/>
          <w:szCs w:val="32"/>
        </w:rPr>
      </w:pPr>
      <w:r>
        <w:rPr>
          <w:rFonts w:ascii="Verdana" w:eastAsiaTheme="majorEastAsia" w:hAnsi="Verdana" w:cstheme="majorBidi"/>
          <w:b/>
          <w:sz w:val="28"/>
          <w:szCs w:val="32"/>
        </w:rPr>
        <w:t>Adapt Learning</w:t>
      </w:r>
    </w:p>
    <w:p w:rsidR="006A5FBB" w:rsidRDefault="00342E98" w:rsidP="00E853D1">
      <w:pPr>
        <w:spacing w:line="360" w:lineRule="auto"/>
      </w:pPr>
      <w:r w:rsidRPr="00342E98">
        <w:t>The curriculum resources and learning experiences will be available through the Adapt Learning platform. Adapt is an open source e-learning platform that gives teachers the power to create online modules and encourages students to undertake self-directed learning.</w:t>
      </w:r>
      <w:r w:rsidR="004744D3">
        <w:t xml:space="preserve"> </w:t>
      </w:r>
      <w:r w:rsidRPr="00342E98">
        <w:t xml:space="preserve"> </w:t>
      </w:r>
    </w:p>
    <w:p w:rsidR="00342E98" w:rsidRDefault="00342E98" w:rsidP="00E853D1">
      <w:pPr>
        <w:spacing w:line="360" w:lineRule="auto"/>
      </w:pPr>
      <w:r w:rsidRPr="00342E98">
        <w:t>Please find below a brief overview of using Adapt as you create your modules.</w:t>
      </w:r>
    </w:p>
    <w:p w:rsidR="006A5FBB" w:rsidRPr="006A5FBB" w:rsidRDefault="006A5FBB" w:rsidP="0012235B">
      <w:pPr>
        <w:spacing w:line="360" w:lineRule="auto"/>
        <w:jc w:val="center"/>
      </w:pPr>
      <w:r>
        <w:rPr>
          <w:i/>
        </w:rPr>
        <w:t xml:space="preserve">The Invictus Games curriculum materials are branded as below. </w:t>
      </w:r>
      <w:r w:rsidR="0012235B">
        <w:rPr>
          <w:i/>
        </w:rPr>
        <w:t>Modules are clearly labelled by stage and subject area,</w:t>
      </w:r>
      <w:r>
        <w:rPr>
          <w:i/>
        </w:rPr>
        <w:t xml:space="preserve"> together with a brief sub-heading and an overview (one paragraph max.).</w:t>
      </w:r>
    </w:p>
    <w:p w:rsidR="006A5FBB" w:rsidRDefault="006A5FBB" w:rsidP="006A5FBB">
      <w:pPr>
        <w:spacing w:line="360" w:lineRule="auto"/>
        <w:jc w:val="center"/>
      </w:pPr>
      <w:r>
        <w:rPr>
          <w:noProof/>
          <w:lang w:eastAsia="en-AU"/>
        </w:rPr>
        <w:drawing>
          <wp:inline distT="0" distB="0" distL="0" distR="0" wp14:anchorId="0365BC8B" wp14:editId="70FEE055">
            <wp:extent cx="4646543" cy="2571004"/>
            <wp:effectExtent l="0" t="0" r="190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51785" cy="2573905"/>
                    </a:xfrm>
                    <a:prstGeom prst="rect">
                      <a:avLst/>
                    </a:prstGeom>
                  </pic:spPr>
                </pic:pic>
              </a:graphicData>
            </a:graphic>
          </wp:inline>
        </w:drawing>
      </w:r>
    </w:p>
    <w:p w:rsidR="0012235B" w:rsidRDefault="0012235B" w:rsidP="0012235B">
      <w:pPr>
        <w:spacing w:line="360" w:lineRule="auto"/>
        <w:jc w:val="center"/>
        <w:rPr>
          <w:i/>
        </w:rPr>
      </w:pPr>
      <w:r>
        <w:rPr>
          <w:i/>
        </w:rPr>
        <w:t>Lesson sequences are broken down into modules with approximate time-frames for class completion.</w:t>
      </w:r>
    </w:p>
    <w:p w:rsidR="0012235B" w:rsidRPr="0012235B" w:rsidRDefault="0012235B" w:rsidP="0012235B">
      <w:pPr>
        <w:spacing w:line="360" w:lineRule="auto"/>
        <w:jc w:val="center"/>
      </w:pPr>
      <w:r>
        <w:rPr>
          <w:noProof/>
          <w:lang w:eastAsia="en-AU"/>
        </w:rPr>
        <w:drawing>
          <wp:inline distT="0" distB="0" distL="0" distR="0" wp14:anchorId="7CF113C9" wp14:editId="47911069">
            <wp:extent cx="3221395" cy="4089952"/>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hot 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22536" cy="4091401"/>
                    </a:xfrm>
                    <a:prstGeom prst="rect">
                      <a:avLst/>
                    </a:prstGeom>
                  </pic:spPr>
                </pic:pic>
              </a:graphicData>
            </a:graphic>
          </wp:inline>
        </w:drawing>
      </w:r>
    </w:p>
    <w:p w:rsidR="006A5FBB" w:rsidRPr="00342E98" w:rsidRDefault="006A5FBB" w:rsidP="00E853D1">
      <w:pPr>
        <w:spacing w:line="360" w:lineRule="auto"/>
      </w:pPr>
    </w:p>
    <w:p w:rsidR="0012235B" w:rsidRDefault="0012235B" w:rsidP="0012235B">
      <w:pPr>
        <w:spacing w:line="360" w:lineRule="auto"/>
        <w:jc w:val="center"/>
        <w:rPr>
          <w:i/>
        </w:rPr>
      </w:pPr>
      <w:r>
        <w:rPr>
          <w:i/>
        </w:rPr>
        <w:t>Modules are marked with short, active commands and are structured with an Overview, explaining what’s ahead for each lesson. A progression bar manages students’ progress through modules.</w:t>
      </w:r>
    </w:p>
    <w:p w:rsidR="0012235B" w:rsidRDefault="0012235B" w:rsidP="0012235B">
      <w:pPr>
        <w:spacing w:line="360" w:lineRule="auto"/>
        <w:jc w:val="center"/>
        <w:rPr>
          <w:i/>
        </w:rPr>
      </w:pPr>
      <w:r>
        <w:rPr>
          <w:i/>
          <w:noProof/>
          <w:lang w:eastAsia="en-AU"/>
        </w:rPr>
        <w:drawing>
          <wp:inline distT="0" distB="0" distL="0" distR="0" wp14:anchorId="232F78DE" wp14:editId="6F3CA5A0">
            <wp:extent cx="4295775" cy="64770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hot 3.JPG"/>
                    <pic:cNvPicPr/>
                  </pic:nvPicPr>
                  <pic:blipFill>
                    <a:blip r:embed="rId14">
                      <a:extLst>
                        <a:ext uri="{28A0092B-C50C-407E-A947-70E740481C1C}">
                          <a14:useLocalDpi xmlns:a14="http://schemas.microsoft.com/office/drawing/2010/main" val="0"/>
                        </a:ext>
                      </a:extLst>
                    </a:blip>
                    <a:stretch>
                      <a:fillRect/>
                    </a:stretch>
                  </pic:blipFill>
                  <pic:spPr>
                    <a:xfrm>
                      <a:off x="0" y="0"/>
                      <a:ext cx="4295775" cy="6477000"/>
                    </a:xfrm>
                    <a:prstGeom prst="rect">
                      <a:avLst/>
                    </a:prstGeom>
                  </pic:spPr>
                </pic:pic>
              </a:graphicData>
            </a:graphic>
          </wp:inline>
        </w:drawing>
      </w:r>
    </w:p>
    <w:p w:rsidR="0012235B" w:rsidRDefault="0012235B" w:rsidP="0012235B">
      <w:pPr>
        <w:spacing w:line="360" w:lineRule="auto"/>
        <w:jc w:val="center"/>
        <w:rPr>
          <w:i/>
        </w:rPr>
      </w:pPr>
    </w:p>
    <w:p w:rsidR="00342E98" w:rsidRPr="00300940" w:rsidRDefault="00300940" w:rsidP="00300940">
      <w:pPr>
        <w:spacing w:line="360" w:lineRule="auto"/>
        <w:rPr>
          <w:color w:val="FF0000"/>
        </w:rPr>
      </w:pPr>
      <w:r>
        <w:rPr>
          <w:noProof/>
          <w:lang w:eastAsia="en-AU"/>
        </w:rPr>
        <mc:AlternateContent>
          <mc:Choice Requires="wps">
            <w:drawing>
              <wp:inline distT="0" distB="0" distL="0" distR="0" wp14:anchorId="558D661F" wp14:editId="2C93932C">
                <wp:extent cx="6433751" cy="1404620"/>
                <wp:effectExtent l="0" t="0" r="24765" b="2032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3751" cy="1404620"/>
                        </a:xfrm>
                        <a:prstGeom prst="rect">
                          <a:avLst/>
                        </a:prstGeom>
                        <a:solidFill>
                          <a:srgbClr val="FFFFFF"/>
                        </a:solidFill>
                        <a:ln w="9525">
                          <a:solidFill>
                            <a:srgbClr val="000000"/>
                          </a:solidFill>
                          <a:miter lim="800000"/>
                          <a:headEnd/>
                          <a:tailEnd/>
                        </a:ln>
                      </wps:spPr>
                      <wps:txbx>
                        <w:txbxContent>
                          <w:p w:rsidR="00300940" w:rsidRPr="00787129" w:rsidRDefault="00300940" w:rsidP="00300940">
                            <w:pPr>
                              <w:pStyle w:val="Subtitle"/>
                              <w:rPr>
                                <w:b/>
                              </w:rPr>
                            </w:pPr>
                            <w:r w:rsidRPr="00787129">
                              <w:rPr>
                                <w:b/>
                              </w:rPr>
                              <w:t>Accessibility Compliance</w:t>
                            </w:r>
                          </w:p>
                          <w:p w:rsidR="00300940" w:rsidRDefault="00300940" w:rsidP="00300940">
                            <w:r>
                              <w:t xml:space="preserve">The Invictus Games Sydney 2018 Education Project resources, videos and the Adapt Learning online platform meet </w:t>
                            </w:r>
                            <w:hyperlink r:id="rId15" w:history="1">
                              <w:r w:rsidRPr="00A74971">
                                <w:rPr>
                                  <w:rStyle w:val="Hyperlink"/>
                                </w:rPr>
                                <w:t>WCAG2.0</w:t>
                              </w:r>
                            </w:hyperlink>
                            <w:r>
                              <w:t xml:space="preserve"> accessibility compliance.</w:t>
                            </w:r>
                          </w:p>
                        </w:txbxContent>
                      </wps:txbx>
                      <wps:bodyPr rot="0" vert="horz" wrap="square" lIns="91440" tIns="45720" rIns="91440" bIns="45720" anchor="t" anchorCtr="0">
                        <a:spAutoFit/>
                      </wps:bodyPr>
                    </wps:wsp>
                  </a:graphicData>
                </a:graphic>
              </wp:inline>
            </w:drawing>
          </mc:Choice>
          <mc:Fallback>
            <w:pict>
              <v:shapetype w14:anchorId="558D661F" id="_x0000_t202" coordsize="21600,21600" o:spt="202" path="m,l,21600r21600,l21600,xe">
                <v:stroke joinstyle="miter"/>
                <v:path gradientshapeok="t" o:connecttype="rect"/>
              </v:shapetype>
              <v:shape id="Text Box 2" o:spid="_x0000_s1026" type="#_x0000_t202" style="width:506.6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hUQJgIAAEcEAAAOAAAAZHJzL2Uyb0RvYy54bWysU9tu2zAMfR+wfxD0vvhSJ2mNOEWXLsOA&#10;7gK0+wBalmNhsqRJSuzs60fJaRZ028swPQiiSB2R55Cr27GX5MCtE1pVNJullHDFdCPUrqJfn7Zv&#10;rilxHlQDUite0SN39Hb9+tVqMCXPdadlwy1BEOXKwVS0896USeJYx3twM224QmerbQ8eTbtLGgsD&#10;ovcyydN0kQzaNsZqxp3D2/vJSdcRv20585/b1nFPZEUxNx93G/c67Ml6BeXOgukEO6UB/5BFD0Lh&#10;p2eoe/BA9lb8BtULZrXTrZ8x3Se6bQXjsQasJktfVPPYgeGxFiTHmTNN7v/Bsk+HL5aIpqJ5tqRE&#10;QY8iPfHRk7d6JHngZzCuxLBHg4F+xGvUOdbqzINm3xxRetOB2vE7a/XQcWgwvyy8TC6eTjgugNTD&#10;R93gN7D3OgKNre0DeUgHQXTU6XjWJqTC8HJRXF0t5xklDH1ZkRaLPKqXQPn83Fjn33Pdk3CoqEXx&#10;IzwcHpwP6UD5HBJ+c1qKZiukjIbd1RtpyQGwUbZxxQpehElFhorezPP5xMBfIdK4/gTRC48dL0Vf&#10;0etzEJSBt3eqif3oQcjpjClLdSIycDex6Md6PAlT6+aIlFo9dTZOIh46bX9QMmBXV9R934PllMgP&#10;CmW5yYoijEE0ivkSOST20lNfekAxhKqop2Q6bnwcnUiYuUP5tiISG3SeMjnlit0a+T5NVhiHSztG&#10;/Zr/9U8AAAD//wMAUEsDBBQABgAIAAAAIQACUG++3AAAAAYBAAAPAAAAZHJzL2Rvd25yZXYueG1s&#10;TI/BTsMwEETvSPyDtUi9USdGVCjEqRBVz5QWCXFz7G0cNV6H2E3Tfj0uF7isNJrRzNtyObmOjTiE&#10;1pOEfJ4BQ9LetNRI+Nit75+AhajIqM4TSjhjgGV1e1OqwvgTveO4jQ1LJRQKJcHG2BecB23RqTD3&#10;PVLy9n5wKiY5NNwM6pTKXcdFli24Uy2lBat6fLWoD9ujkxBWm+9e7zf1wZrz5W01PurP9ZeUs7vp&#10;5RlYxCn+heGKn9ChSky1P5IJrJOQHom/9+pl+YMAVksQIhfAq5L/x69+AAAA//8DAFBLAQItABQA&#10;BgAIAAAAIQC2gziS/gAAAOEBAAATAAAAAAAAAAAAAAAAAAAAAABbQ29udGVudF9UeXBlc10ueG1s&#10;UEsBAi0AFAAGAAgAAAAhADj9If/WAAAAlAEAAAsAAAAAAAAAAAAAAAAALwEAAF9yZWxzLy5yZWxz&#10;UEsBAi0AFAAGAAgAAAAhAK1mFRAmAgAARwQAAA4AAAAAAAAAAAAAAAAALgIAAGRycy9lMm9Eb2Mu&#10;eG1sUEsBAi0AFAAGAAgAAAAhAAJQb77cAAAABgEAAA8AAAAAAAAAAAAAAAAAgAQAAGRycy9kb3du&#10;cmV2LnhtbFBLBQYAAAAABAAEAPMAAACJBQAAAAA=&#10;">
                <v:textbox style="mso-fit-shape-to-text:t">
                  <w:txbxContent>
                    <w:p w:rsidR="00300940" w:rsidRPr="00787129" w:rsidRDefault="00300940" w:rsidP="00300940">
                      <w:pPr>
                        <w:pStyle w:val="Subtitle"/>
                        <w:rPr>
                          <w:b/>
                        </w:rPr>
                      </w:pPr>
                      <w:r w:rsidRPr="00787129">
                        <w:rPr>
                          <w:b/>
                        </w:rPr>
                        <w:t>Accessibility Compliance</w:t>
                      </w:r>
                    </w:p>
                    <w:p w:rsidR="00300940" w:rsidRDefault="00300940" w:rsidP="00300940">
                      <w:r>
                        <w:t xml:space="preserve">The Invictus Games Sydney 2018 Education Project resources, videos and the Adapt Learning online platform meet </w:t>
                      </w:r>
                      <w:hyperlink r:id="rId16" w:history="1">
                        <w:r w:rsidRPr="00A74971">
                          <w:rPr>
                            <w:rStyle w:val="Hyperlink"/>
                          </w:rPr>
                          <w:t>WCAG2.0</w:t>
                        </w:r>
                      </w:hyperlink>
                      <w:r>
                        <w:t xml:space="preserve"> accessibility compliance.</w:t>
                      </w:r>
                    </w:p>
                  </w:txbxContent>
                </v:textbox>
                <w10:anchorlock/>
              </v:shape>
            </w:pict>
          </mc:Fallback>
        </mc:AlternateContent>
      </w:r>
    </w:p>
    <w:p w:rsidR="000B6134" w:rsidRPr="00B263C2" w:rsidRDefault="000B6134" w:rsidP="00E853D1">
      <w:pPr>
        <w:spacing w:line="360" w:lineRule="auto"/>
      </w:pPr>
    </w:p>
    <w:sectPr w:rsidR="000B6134" w:rsidRPr="00B263C2" w:rsidSect="00E853D1">
      <w:footerReference w:type="default" r:id="rId17"/>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967D9" w:rsidRDefault="003967D9" w:rsidP="000B6134">
      <w:pPr>
        <w:spacing w:after="0" w:line="240" w:lineRule="auto"/>
      </w:pPr>
      <w:r>
        <w:separator/>
      </w:r>
    </w:p>
  </w:endnote>
  <w:endnote w:type="continuationSeparator" w:id="0">
    <w:p w:rsidR="003967D9" w:rsidRDefault="003967D9" w:rsidP="000B6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62929220"/>
      <w:docPartObj>
        <w:docPartGallery w:val="Page Numbers (Bottom of Page)"/>
        <w:docPartUnique/>
      </w:docPartObj>
    </w:sdtPr>
    <w:sdtEndPr>
      <w:rPr>
        <w:noProof/>
      </w:rPr>
    </w:sdtEndPr>
    <w:sdtContent>
      <w:p w:rsidR="004744D3" w:rsidRDefault="004744D3">
        <w:pPr>
          <w:pStyle w:val="Footer"/>
          <w:jc w:val="center"/>
        </w:pPr>
        <w:r>
          <w:fldChar w:fldCharType="begin"/>
        </w:r>
        <w:r>
          <w:instrText xml:space="preserve"> PAGE   \* MERGEFORMAT </w:instrText>
        </w:r>
        <w:r>
          <w:fldChar w:fldCharType="separate"/>
        </w:r>
        <w:r w:rsidR="00424DA2">
          <w:rPr>
            <w:noProof/>
          </w:rPr>
          <w:t>9</w:t>
        </w:r>
        <w:r>
          <w:rPr>
            <w:noProof/>
          </w:rPr>
          <w:fldChar w:fldCharType="end"/>
        </w:r>
      </w:p>
    </w:sdtContent>
  </w:sdt>
  <w:p w:rsidR="000B6134" w:rsidRDefault="000B6134">
    <w:pPr>
      <w:pStyle w:val="Footer"/>
    </w:pPr>
  </w:p>
  <w:p w:rsidR="00EE6BA9" w:rsidRDefault="00EE6BA9"/>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967D9" w:rsidRDefault="003967D9" w:rsidP="000B6134">
      <w:pPr>
        <w:spacing w:after="0" w:line="240" w:lineRule="auto"/>
      </w:pPr>
      <w:r>
        <w:separator/>
      </w:r>
    </w:p>
  </w:footnote>
  <w:footnote w:type="continuationSeparator" w:id="0">
    <w:p w:rsidR="003967D9" w:rsidRDefault="003967D9" w:rsidP="000B613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15D8A"/>
    <w:multiLevelType w:val="hybridMultilevel"/>
    <w:tmpl w:val="61F4628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11575AC6"/>
    <w:multiLevelType w:val="hybridMultilevel"/>
    <w:tmpl w:val="60B42E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8EC5154"/>
    <w:multiLevelType w:val="hybridMultilevel"/>
    <w:tmpl w:val="B0C298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34777105"/>
    <w:multiLevelType w:val="hybridMultilevel"/>
    <w:tmpl w:val="4A9008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4593563E"/>
    <w:multiLevelType w:val="hybridMultilevel"/>
    <w:tmpl w:val="A6327F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4B570626"/>
    <w:multiLevelType w:val="hybridMultilevel"/>
    <w:tmpl w:val="44E6BB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5599259B"/>
    <w:multiLevelType w:val="hybridMultilevel"/>
    <w:tmpl w:val="0EB44E7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55A5599C"/>
    <w:multiLevelType w:val="hybridMultilevel"/>
    <w:tmpl w:val="E0663A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5AAD7A5F"/>
    <w:multiLevelType w:val="hybridMultilevel"/>
    <w:tmpl w:val="B0D43632"/>
    <w:lvl w:ilvl="0" w:tplc="09324014">
      <w:numFmt w:val="bullet"/>
      <w:lvlText w:val="•"/>
      <w:lvlJc w:val="left"/>
      <w:pPr>
        <w:ind w:left="1080" w:hanging="72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626047BB"/>
    <w:multiLevelType w:val="hybridMultilevel"/>
    <w:tmpl w:val="A2029602"/>
    <w:lvl w:ilvl="0" w:tplc="FD2414A0">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68525CF4"/>
    <w:multiLevelType w:val="hybridMultilevel"/>
    <w:tmpl w:val="8F40F9A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6C3454B5"/>
    <w:multiLevelType w:val="hybridMultilevel"/>
    <w:tmpl w:val="BFBACC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74DC7D66"/>
    <w:multiLevelType w:val="hybridMultilevel"/>
    <w:tmpl w:val="BB5EBFA0"/>
    <w:lvl w:ilvl="0" w:tplc="ECBC72CE">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764C0A04"/>
    <w:multiLevelType w:val="hybridMultilevel"/>
    <w:tmpl w:val="7E62D7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7ECD6318"/>
    <w:multiLevelType w:val="hybridMultilevel"/>
    <w:tmpl w:val="5D70F6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5"/>
  </w:num>
  <w:num w:numId="2">
    <w:abstractNumId w:val="8"/>
  </w:num>
  <w:num w:numId="3">
    <w:abstractNumId w:val="0"/>
  </w:num>
  <w:num w:numId="4">
    <w:abstractNumId w:val="13"/>
  </w:num>
  <w:num w:numId="5">
    <w:abstractNumId w:val="2"/>
  </w:num>
  <w:num w:numId="6">
    <w:abstractNumId w:val="1"/>
  </w:num>
  <w:num w:numId="7">
    <w:abstractNumId w:val="4"/>
  </w:num>
  <w:num w:numId="8">
    <w:abstractNumId w:val="7"/>
  </w:num>
  <w:num w:numId="9">
    <w:abstractNumId w:val="11"/>
  </w:num>
  <w:num w:numId="10">
    <w:abstractNumId w:val="12"/>
  </w:num>
  <w:num w:numId="11">
    <w:abstractNumId w:val="9"/>
  </w:num>
  <w:num w:numId="12">
    <w:abstractNumId w:val="14"/>
  </w:num>
  <w:num w:numId="13">
    <w:abstractNumId w:val="10"/>
  </w:num>
  <w:num w:numId="14">
    <w:abstractNumId w:val="3"/>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63C2"/>
    <w:rsid w:val="00001B79"/>
    <w:rsid w:val="00017CF1"/>
    <w:rsid w:val="00023226"/>
    <w:rsid w:val="00070417"/>
    <w:rsid w:val="000B6134"/>
    <w:rsid w:val="000E458F"/>
    <w:rsid w:val="0012235B"/>
    <w:rsid w:val="00254D87"/>
    <w:rsid w:val="00265F98"/>
    <w:rsid w:val="002A0B1D"/>
    <w:rsid w:val="00300940"/>
    <w:rsid w:val="00323446"/>
    <w:rsid w:val="00342E98"/>
    <w:rsid w:val="003967D9"/>
    <w:rsid w:val="003E256D"/>
    <w:rsid w:val="00424DA2"/>
    <w:rsid w:val="004305CB"/>
    <w:rsid w:val="00450272"/>
    <w:rsid w:val="004744D3"/>
    <w:rsid w:val="005D3FFC"/>
    <w:rsid w:val="00615C41"/>
    <w:rsid w:val="00660D4B"/>
    <w:rsid w:val="006A5FBB"/>
    <w:rsid w:val="006B60ED"/>
    <w:rsid w:val="006D5499"/>
    <w:rsid w:val="00787129"/>
    <w:rsid w:val="007973CE"/>
    <w:rsid w:val="007A299D"/>
    <w:rsid w:val="007F787F"/>
    <w:rsid w:val="008344ED"/>
    <w:rsid w:val="008F74DA"/>
    <w:rsid w:val="009900D6"/>
    <w:rsid w:val="009A3B10"/>
    <w:rsid w:val="00A67CD2"/>
    <w:rsid w:val="00A74971"/>
    <w:rsid w:val="00A76C2C"/>
    <w:rsid w:val="00AF36D2"/>
    <w:rsid w:val="00B263C2"/>
    <w:rsid w:val="00B701D6"/>
    <w:rsid w:val="00C109FD"/>
    <w:rsid w:val="00C243C8"/>
    <w:rsid w:val="00CF4907"/>
    <w:rsid w:val="00DE5288"/>
    <w:rsid w:val="00E853D1"/>
    <w:rsid w:val="00E85F02"/>
    <w:rsid w:val="00EE6BA9"/>
    <w:rsid w:val="00F23DE1"/>
    <w:rsid w:val="00FC178A"/>
    <w:rsid w:val="00FF1576"/>
    <w:rsid w:val="00FF679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6AD03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263C2"/>
    <w:rPr>
      <w:rFonts w:ascii="Arial" w:hAnsi="Arial"/>
      <w:sz w:val="20"/>
    </w:rPr>
  </w:style>
  <w:style w:type="paragraph" w:styleId="Heading1">
    <w:name w:val="heading 1"/>
    <w:basedOn w:val="Normal"/>
    <w:next w:val="Normal"/>
    <w:link w:val="Heading1Char"/>
    <w:uiPriority w:val="9"/>
    <w:qFormat/>
    <w:rsid w:val="00B263C2"/>
    <w:pPr>
      <w:keepNext/>
      <w:keepLines/>
      <w:spacing w:before="240" w:after="0"/>
      <w:outlineLvl w:val="0"/>
    </w:pPr>
    <w:rPr>
      <w:rFonts w:ascii="Verdana" w:eastAsiaTheme="majorEastAsia" w:hAnsi="Verdana" w:cstheme="majorBidi"/>
      <w:b/>
      <w:sz w:val="28"/>
      <w:szCs w:val="32"/>
    </w:rPr>
  </w:style>
  <w:style w:type="paragraph" w:styleId="Heading3">
    <w:name w:val="heading 3"/>
    <w:basedOn w:val="Normal"/>
    <w:next w:val="Normal"/>
    <w:link w:val="Heading3Char"/>
    <w:uiPriority w:val="9"/>
    <w:semiHidden/>
    <w:unhideWhenUsed/>
    <w:qFormat/>
    <w:rsid w:val="00FC178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63C2"/>
    <w:rPr>
      <w:rFonts w:ascii="Verdana" w:eastAsiaTheme="majorEastAsia" w:hAnsi="Verdana" w:cstheme="majorBidi"/>
      <w:b/>
      <w:sz w:val="28"/>
      <w:szCs w:val="32"/>
    </w:rPr>
  </w:style>
  <w:style w:type="paragraph" w:styleId="Subtitle">
    <w:name w:val="Subtitle"/>
    <w:basedOn w:val="Normal"/>
    <w:next w:val="Normal"/>
    <w:link w:val="SubtitleChar"/>
    <w:uiPriority w:val="11"/>
    <w:qFormat/>
    <w:rsid w:val="00B263C2"/>
    <w:pPr>
      <w:numPr>
        <w:ilvl w:val="1"/>
      </w:numPr>
    </w:pPr>
    <w:rPr>
      <w:rFonts w:ascii="Verdana" w:eastAsiaTheme="minorEastAsia" w:hAnsi="Verdana"/>
      <w:color w:val="5A5A5A" w:themeColor="text1" w:themeTint="A5"/>
      <w:spacing w:val="15"/>
    </w:rPr>
  </w:style>
  <w:style w:type="character" w:customStyle="1" w:styleId="SubtitleChar">
    <w:name w:val="Subtitle Char"/>
    <w:basedOn w:val="DefaultParagraphFont"/>
    <w:link w:val="Subtitle"/>
    <w:uiPriority w:val="11"/>
    <w:rsid w:val="00B263C2"/>
    <w:rPr>
      <w:rFonts w:ascii="Verdana" w:eastAsiaTheme="minorEastAsia" w:hAnsi="Verdana"/>
      <w:color w:val="5A5A5A" w:themeColor="text1" w:themeTint="A5"/>
      <w:spacing w:val="15"/>
    </w:rPr>
  </w:style>
  <w:style w:type="paragraph" w:styleId="ListParagraph">
    <w:name w:val="List Paragraph"/>
    <w:basedOn w:val="Normal"/>
    <w:uiPriority w:val="34"/>
    <w:qFormat/>
    <w:rsid w:val="00B263C2"/>
    <w:pPr>
      <w:ind w:left="720"/>
      <w:contextualSpacing/>
    </w:pPr>
  </w:style>
  <w:style w:type="paragraph" w:styleId="Header">
    <w:name w:val="header"/>
    <w:basedOn w:val="Normal"/>
    <w:link w:val="HeaderChar"/>
    <w:uiPriority w:val="99"/>
    <w:unhideWhenUsed/>
    <w:rsid w:val="000B6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0B6134"/>
    <w:rPr>
      <w:rFonts w:ascii="Arial" w:hAnsi="Arial"/>
      <w:sz w:val="20"/>
    </w:rPr>
  </w:style>
  <w:style w:type="paragraph" w:styleId="Footer">
    <w:name w:val="footer"/>
    <w:basedOn w:val="Normal"/>
    <w:link w:val="FooterChar"/>
    <w:uiPriority w:val="99"/>
    <w:unhideWhenUsed/>
    <w:rsid w:val="000B6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0B6134"/>
    <w:rPr>
      <w:rFonts w:ascii="Arial" w:hAnsi="Arial"/>
      <w:sz w:val="20"/>
    </w:rPr>
  </w:style>
  <w:style w:type="table" w:styleId="TableGrid">
    <w:name w:val="Table Grid"/>
    <w:basedOn w:val="TableNormal"/>
    <w:uiPriority w:val="39"/>
    <w:rsid w:val="00FF15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243C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43C8"/>
    <w:rPr>
      <w:rFonts w:ascii="Segoe UI" w:hAnsi="Segoe UI" w:cs="Segoe UI"/>
      <w:sz w:val="18"/>
      <w:szCs w:val="18"/>
    </w:rPr>
  </w:style>
  <w:style w:type="character" w:styleId="Hyperlink">
    <w:name w:val="Hyperlink"/>
    <w:basedOn w:val="DefaultParagraphFont"/>
    <w:uiPriority w:val="99"/>
    <w:unhideWhenUsed/>
    <w:rsid w:val="00A74971"/>
    <w:rPr>
      <w:color w:val="0563C1" w:themeColor="hyperlink"/>
      <w:u w:val="single"/>
    </w:rPr>
  </w:style>
  <w:style w:type="character" w:customStyle="1" w:styleId="Heading3Char">
    <w:name w:val="Heading 3 Char"/>
    <w:basedOn w:val="DefaultParagraphFont"/>
    <w:link w:val="Heading3"/>
    <w:uiPriority w:val="9"/>
    <w:semiHidden/>
    <w:rsid w:val="00FC178A"/>
    <w:rPr>
      <w:rFonts w:asciiTheme="majorHAnsi" w:eastAsiaTheme="majorEastAsia" w:hAnsiTheme="majorHAnsi" w:cstheme="majorBidi"/>
      <w:color w:val="1F4D78"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607775">
      <w:bodyDiv w:val="1"/>
      <w:marLeft w:val="0"/>
      <w:marRight w:val="0"/>
      <w:marTop w:val="0"/>
      <w:marBottom w:val="0"/>
      <w:divBdr>
        <w:top w:val="none" w:sz="0" w:space="0" w:color="auto"/>
        <w:left w:val="none" w:sz="0" w:space="0" w:color="auto"/>
        <w:bottom w:val="none" w:sz="0" w:space="0" w:color="auto"/>
        <w:right w:val="none" w:sz="0" w:space="0" w:color="auto"/>
      </w:divBdr>
      <w:divsChild>
        <w:div w:id="859247240">
          <w:marLeft w:val="0"/>
          <w:marRight w:val="0"/>
          <w:marTop w:val="0"/>
          <w:marBottom w:val="0"/>
          <w:divBdr>
            <w:top w:val="none" w:sz="0" w:space="0" w:color="auto"/>
            <w:left w:val="none" w:sz="0" w:space="0" w:color="auto"/>
            <w:bottom w:val="none" w:sz="0" w:space="0" w:color="auto"/>
            <w:right w:val="none" w:sz="0" w:space="0" w:color="auto"/>
          </w:divBdr>
          <w:divsChild>
            <w:div w:id="169911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676120">
      <w:bodyDiv w:val="1"/>
      <w:marLeft w:val="0"/>
      <w:marRight w:val="0"/>
      <w:marTop w:val="0"/>
      <w:marBottom w:val="0"/>
      <w:divBdr>
        <w:top w:val="none" w:sz="0" w:space="0" w:color="auto"/>
        <w:left w:val="none" w:sz="0" w:space="0" w:color="auto"/>
        <w:bottom w:val="none" w:sz="0" w:space="0" w:color="auto"/>
        <w:right w:val="none" w:sz="0" w:space="0" w:color="auto"/>
      </w:divBdr>
      <w:divsChild>
        <w:div w:id="895166190">
          <w:marLeft w:val="0"/>
          <w:marRight w:val="0"/>
          <w:marTop w:val="0"/>
          <w:marBottom w:val="0"/>
          <w:divBdr>
            <w:top w:val="none" w:sz="0" w:space="0" w:color="auto"/>
            <w:left w:val="none" w:sz="0" w:space="0" w:color="auto"/>
            <w:bottom w:val="none" w:sz="0" w:space="0" w:color="auto"/>
            <w:right w:val="none" w:sz="0" w:space="0" w:color="auto"/>
          </w:divBdr>
          <w:divsChild>
            <w:div w:id="142056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600293">
      <w:bodyDiv w:val="1"/>
      <w:marLeft w:val="0"/>
      <w:marRight w:val="0"/>
      <w:marTop w:val="0"/>
      <w:marBottom w:val="0"/>
      <w:divBdr>
        <w:top w:val="none" w:sz="0" w:space="0" w:color="auto"/>
        <w:left w:val="none" w:sz="0" w:space="0" w:color="auto"/>
        <w:bottom w:val="none" w:sz="0" w:space="0" w:color="auto"/>
        <w:right w:val="none" w:sz="0" w:space="0" w:color="auto"/>
      </w:divBdr>
      <w:divsChild>
        <w:div w:id="20058677">
          <w:marLeft w:val="0"/>
          <w:marRight w:val="0"/>
          <w:marTop w:val="0"/>
          <w:marBottom w:val="0"/>
          <w:divBdr>
            <w:top w:val="none" w:sz="0" w:space="0" w:color="auto"/>
            <w:left w:val="none" w:sz="0" w:space="0" w:color="auto"/>
            <w:bottom w:val="none" w:sz="0" w:space="0" w:color="auto"/>
            <w:right w:val="none" w:sz="0" w:space="0" w:color="auto"/>
          </w:divBdr>
          <w:divsChild>
            <w:div w:id="1509712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71468">
      <w:bodyDiv w:val="1"/>
      <w:marLeft w:val="0"/>
      <w:marRight w:val="0"/>
      <w:marTop w:val="0"/>
      <w:marBottom w:val="0"/>
      <w:divBdr>
        <w:top w:val="none" w:sz="0" w:space="0" w:color="auto"/>
        <w:left w:val="none" w:sz="0" w:space="0" w:color="auto"/>
        <w:bottom w:val="none" w:sz="0" w:space="0" w:color="auto"/>
        <w:right w:val="none" w:sz="0" w:space="0" w:color="auto"/>
      </w:divBdr>
      <w:divsChild>
        <w:div w:id="313341172">
          <w:marLeft w:val="0"/>
          <w:marRight w:val="0"/>
          <w:marTop w:val="0"/>
          <w:marBottom w:val="0"/>
          <w:divBdr>
            <w:top w:val="none" w:sz="0" w:space="0" w:color="auto"/>
            <w:left w:val="none" w:sz="0" w:space="0" w:color="auto"/>
            <w:bottom w:val="none" w:sz="0" w:space="0" w:color="auto"/>
            <w:right w:val="none" w:sz="0" w:space="0" w:color="auto"/>
          </w:divBdr>
          <w:divsChild>
            <w:div w:id="176968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536486">
      <w:bodyDiv w:val="1"/>
      <w:marLeft w:val="0"/>
      <w:marRight w:val="0"/>
      <w:marTop w:val="0"/>
      <w:marBottom w:val="0"/>
      <w:divBdr>
        <w:top w:val="none" w:sz="0" w:space="0" w:color="auto"/>
        <w:left w:val="none" w:sz="0" w:space="0" w:color="auto"/>
        <w:bottom w:val="none" w:sz="0" w:space="0" w:color="auto"/>
        <w:right w:val="none" w:sz="0" w:space="0" w:color="auto"/>
      </w:divBdr>
      <w:divsChild>
        <w:div w:id="83578280">
          <w:marLeft w:val="0"/>
          <w:marRight w:val="0"/>
          <w:marTop w:val="0"/>
          <w:marBottom w:val="0"/>
          <w:divBdr>
            <w:top w:val="none" w:sz="0" w:space="0" w:color="auto"/>
            <w:left w:val="none" w:sz="0" w:space="0" w:color="auto"/>
            <w:bottom w:val="none" w:sz="0" w:space="0" w:color="auto"/>
            <w:right w:val="none" w:sz="0" w:space="0" w:color="auto"/>
          </w:divBdr>
          <w:divsChild>
            <w:div w:id="59790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157419">
      <w:bodyDiv w:val="1"/>
      <w:marLeft w:val="0"/>
      <w:marRight w:val="0"/>
      <w:marTop w:val="0"/>
      <w:marBottom w:val="0"/>
      <w:divBdr>
        <w:top w:val="none" w:sz="0" w:space="0" w:color="auto"/>
        <w:left w:val="none" w:sz="0" w:space="0" w:color="auto"/>
        <w:bottom w:val="none" w:sz="0" w:space="0" w:color="auto"/>
        <w:right w:val="none" w:sz="0" w:space="0" w:color="auto"/>
      </w:divBdr>
      <w:divsChild>
        <w:div w:id="1945570187">
          <w:marLeft w:val="0"/>
          <w:marRight w:val="0"/>
          <w:marTop w:val="0"/>
          <w:marBottom w:val="0"/>
          <w:divBdr>
            <w:top w:val="none" w:sz="0" w:space="0" w:color="auto"/>
            <w:left w:val="none" w:sz="0" w:space="0" w:color="auto"/>
            <w:bottom w:val="none" w:sz="0" w:space="0" w:color="auto"/>
            <w:right w:val="none" w:sz="0" w:space="0" w:color="auto"/>
          </w:divBdr>
          <w:divsChild>
            <w:div w:id="399601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241962">
      <w:bodyDiv w:val="1"/>
      <w:marLeft w:val="0"/>
      <w:marRight w:val="0"/>
      <w:marTop w:val="0"/>
      <w:marBottom w:val="0"/>
      <w:divBdr>
        <w:top w:val="none" w:sz="0" w:space="0" w:color="auto"/>
        <w:left w:val="none" w:sz="0" w:space="0" w:color="auto"/>
        <w:bottom w:val="none" w:sz="0" w:space="0" w:color="auto"/>
        <w:right w:val="none" w:sz="0" w:space="0" w:color="auto"/>
      </w:divBdr>
      <w:divsChild>
        <w:div w:id="935866357">
          <w:marLeft w:val="0"/>
          <w:marRight w:val="0"/>
          <w:marTop w:val="0"/>
          <w:marBottom w:val="0"/>
          <w:divBdr>
            <w:top w:val="none" w:sz="0" w:space="0" w:color="auto"/>
            <w:left w:val="none" w:sz="0" w:space="0" w:color="auto"/>
            <w:bottom w:val="none" w:sz="0" w:space="0" w:color="auto"/>
            <w:right w:val="none" w:sz="0" w:space="0" w:color="auto"/>
          </w:divBdr>
          <w:divsChild>
            <w:div w:id="242842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426127">
      <w:bodyDiv w:val="1"/>
      <w:marLeft w:val="0"/>
      <w:marRight w:val="0"/>
      <w:marTop w:val="0"/>
      <w:marBottom w:val="0"/>
      <w:divBdr>
        <w:top w:val="none" w:sz="0" w:space="0" w:color="auto"/>
        <w:left w:val="none" w:sz="0" w:space="0" w:color="auto"/>
        <w:bottom w:val="none" w:sz="0" w:space="0" w:color="auto"/>
        <w:right w:val="none" w:sz="0" w:space="0" w:color="auto"/>
      </w:divBdr>
      <w:divsChild>
        <w:div w:id="1243639455">
          <w:marLeft w:val="0"/>
          <w:marRight w:val="0"/>
          <w:marTop w:val="0"/>
          <w:marBottom w:val="0"/>
          <w:divBdr>
            <w:top w:val="none" w:sz="0" w:space="0" w:color="auto"/>
            <w:left w:val="none" w:sz="0" w:space="0" w:color="auto"/>
            <w:bottom w:val="none" w:sz="0" w:space="0" w:color="auto"/>
            <w:right w:val="none" w:sz="0" w:space="0" w:color="auto"/>
          </w:divBdr>
          <w:divsChild>
            <w:div w:id="1285775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www.w3.org/TR/WCAG2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ducation.nsw.gov.au/teaching-and-learning/curriculum/invictus-games" TargetMode="External"/><Relationship Id="rId5" Type="http://schemas.openxmlformats.org/officeDocument/2006/relationships/footnotes" Target="footnotes.xml"/><Relationship Id="rId15" Type="http://schemas.openxmlformats.org/officeDocument/2006/relationships/hyperlink" Target="http://www.w3.org/TR/WCAG20/"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education.nsw.gov.au/teaching-and-learning/curriculum/invictus-games" TargetMode="External"/><Relationship Id="rId14"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1881</Words>
  <Characters>10723</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2018-08-31T00:47:00Z</dcterms:created>
  <dcterms:modified xsi:type="dcterms:W3CDTF">2018-08-31T00:47:00Z</dcterms:modified>
</cp:coreProperties>
</file>